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0599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31.07.2026</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1077</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Головний виконавчи</w:t>
            </w:r>
            <w:r>
              <w:rPr>
                <w:rFonts w:ascii="Times New Roman CYR" w:hAnsi="Times New Roman CYR" w:cs="Times New Roman CYR"/>
                <w:sz w:val="24"/>
                <w:szCs w:val="24"/>
              </w:rPr>
              <w:t>й директор</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Пирiг Р.В.</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Акцiонерне товариство "Кохавинська паперова фабрика" (22351935)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2026 року</w:t>
      </w: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31.07.2026</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2 квартал 2026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r>
        <w:rPr>
          <w:rFonts w:ascii="Times New Roman CYR" w:hAnsi="Times New Roman CYR" w:cs="Times New Roman CYR"/>
          <w:sz w:val="24"/>
          <w:szCs w:val="24"/>
        </w:rPr>
        <w:t>.</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w:t>
      </w:r>
      <w:r>
        <w:rPr>
          <w:rFonts w:ascii="Times New Roman CYR" w:hAnsi="Times New Roman CYR" w:cs="Times New Roman CYR"/>
          <w:sz w:val="24"/>
          <w:szCs w:val="24"/>
        </w:rPr>
        <w:t>ариство не випускало забезпечених цiнних паперiв.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Товариство не визначало/оновлювало рейтинги.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w:t>
      </w:r>
      <w:r>
        <w:rPr>
          <w:rFonts w:ascii="Times New Roman CYR" w:hAnsi="Times New Roman CYR" w:cs="Times New Roman CYR"/>
          <w:sz w:val="24"/>
          <w:szCs w:val="24"/>
        </w:rPr>
        <w:t>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штрафнi санкцiї не надається, тому що штрафних санкцiй не було.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w:t>
      </w:r>
      <w:r>
        <w:rPr>
          <w:rFonts w:ascii="Times New Roman CYR" w:hAnsi="Times New Roman CYR" w:cs="Times New Roman CYR"/>
          <w:sz w:val="24"/>
          <w:szCs w:val="24"/>
        </w:rPr>
        <w:t>но вказати iнформацiю про засновникiв, така iнформацiя наводиться нижче:</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створене вiдповiдно до наказу Державного комiтету України з матерiальних ресурсiв № 238 вiд 15.12.1994 року "Про створення Кохавинської паперової фабрики Державного комiте</w:t>
      </w:r>
      <w:r>
        <w:rPr>
          <w:rFonts w:ascii="Times New Roman CYR" w:hAnsi="Times New Roman CYR" w:cs="Times New Roman CYR"/>
          <w:sz w:val="24"/>
          <w:szCs w:val="24"/>
        </w:rPr>
        <w:t>ту України з матерiальних ресурсiв". Свiдоцтво про державну реєстрацiю господарського формування Державного пiдприємства - Кохавинська паперова фабрика, засновником якого є Державний комiтет України з матерiальних ресурсiв, реєстрацiйний № 22351935, розпор</w:t>
      </w:r>
      <w:r>
        <w:rPr>
          <w:rFonts w:ascii="Times New Roman CYR" w:hAnsi="Times New Roman CYR" w:cs="Times New Roman CYR"/>
          <w:sz w:val="24"/>
          <w:szCs w:val="24"/>
        </w:rPr>
        <w:t>ядження № 64 вiд 02.02.1995 року.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участь в iнших юридичних особах не надається, тому що Товариство не є учасником в iнших юридичних особах.</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вiдокремлених пiдроз</w:t>
      </w:r>
      <w:r>
        <w:rPr>
          <w:rFonts w:ascii="Times New Roman CYR" w:hAnsi="Times New Roman CYR" w:cs="Times New Roman CYR"/>
          <w:sz w:val="24"/>
          <w:szCs w:val="24"/>
        </w:rPr>
        <w:t>дiлiв.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надається, тому що Товариство не випускало облiгацiй.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w:t>
      </w:r>
      <w:r>
        <w:rPr>
          <w:rFonts w:ascii="Times New Roman CYR" w:hAnsi="Times New Roman CYR" w:cs="Times New Roman CYR"/>
          <w:sz w:val="24"/>
          <w:szCs w:val="24"/>
        </w:rPr>
        <w:t>овариство не випускало деривативнi цiннi папери.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w:t>
      </w:r>
      <w:r>
        <w:rPr>
          <w:rFonts w:ascii="Times New Roman CYR" w:hAnsi="Times New Roman CYR" w:cs="Times New Roman CYR"/>
          <w:sz w:val="24"/>
          <w:szCs w:val="24"/>
        </w:rPr>
        <w:t>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придбання власних акцiй протягом звiтного перiоду не надається, тому що Товариство не </w:t>
      </w:r>
      <w:r>
        <w:rPr>
          <w:rFonts w:ascii="Times New Roman CYR" w:hAnsi="Times New Roman CYR" w:cs="Times New Roman CYR"/>
          <w:sz w:val="24"/>
          <w:szCs w:val="24"/>
        </w:rPr>
        <w:t>придбавало власних акцiй протягом звiтного перiоду.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промiжної фiнансової звiтност</w:t>
      </w:r>
      <w:r>
        <w:rPr>
          <w:rFonts w:ascii="Times New Roman CYR" w:hAnsi="Times New Roman CYR" w:cs="Times New Roman CYR"/>
          <w:sz w:val="24"/>
          <w:szCs w:val="24"/>
        </w:rPr>
        <w:t>i не надається, тому що Товариством не залучався суб'єкт аудиторської дiяльностi для перевiрки промiжної фiнансової звiтностi Товариства.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тому що такi правочини в Товариствi в звiтному перiодi не вч</w:t>
      </w:r>
      <w:r>
        <w:rPr>
          <w:rFonts w:ascii="Times New Roman CYR" w:hAnsi="Times New Roman CYR" w:cs="Times New Roman CYR"/>
          <w:sz w:val="24"/>
          <w:szCs w:val="24"/>
        </w:rPr>
        <w:t>инялись.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не надається, тому що такi правочини в Товариствi в звiтному перiодi не вчинялись.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та конс</w:t>
      </w:r>
      <w:r>
        <w:rPr>
          <w:rFonts w:ascii="Times New Roman CYR" w:hAnsi="Times New Roman CYR" w:cs="Times New Roman CYR"/>
          <w:sz w:val="24"/>
          <w:szCs w:val="24"/>
        </w:rPr>
        <w:t>олiдована промiжна фiнансова звiтнiсть емiтента, складена за мiжнародними стандартами фiнансової звiтностi, не надається, тому що в р. III гл.I даного промiжного звiту зазначено посилання на URL-адреса вебсайту особи, за якою розмiщено промiжну фiнансову з</w:t>
      </w:r>
      <w:r>
        <w:rPr>
          <w:rFonts w:ascii="Times New Roman CYR" w:hAnsi="Times New Roman CYR" w:cs="Times New Roman CYR"/>
          <w:sz w:val="24"/>
          <w:szCs w:val="24"/>
        </w:rPr>
        <w:t xml:space="preserve">вiтнiсть на основi таксономiї фiнансової звiтностi.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r>
        <w:rPr>
          <w:rFonts w:ascii="Times New Roman CYR" w:hAnsi="Times New Roman CYR" w:cs="Times New Roman CYR"/>
          <w:b/>
          <w:bCs/>
          <w:sz w:val="24"/>
          <w:szCs w:val="24"/>
        </w:rPr>
        <w:t>до проміжного звіту</w:t>
      </w:r>
    </w:p>
    <w:p w:rsidR="00970283" w:rsidRDefault="00970283">
      <w:pPr>
        <w:widowControl w:val="0"/>
        <w:autoSpaceDE w:val="0"/>
        <w:autoSpaceDN w:val="0"/>
        <w:adjustRightInd w:val="0"/>
        <w:spacing w:after="0" w:line="240" w:lineRule="auto"/>
        <w:jc w:val="center"/>
        <w:rPr>
          <w:rFonts w:ascii="Times New Roman CYR" w:hAnsi="Times New Roman CYR" w:cs="Times New Roman CYR"/>
          <w:b/>
          <w:bCs/>
          <w:sz w:val="24"/>
          <w:szCs w:val="24"/>
          <w:lang w:val="en-US"/>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1688"/>
      </w:tblGrid>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I. Загальна інформація</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en-US"/>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5</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1. Ідентифікаційні дані та загальна інформація</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en-US"/>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5</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lang w:val="en-US"/>
              </w:rPr>
            </w:pPr>
            <w:r w:rsidRPr="00157228">
              <w:rPr>
                <w:rFonts w:ascii="Times New Roman CYR" w:hAnsi="Times New Roman CYR" w:cs="Times New Roman CYR"/>
                <w:sz w:val="24"/>
                <w:szCs w:val="24"/>
              </w:rPr>
              <w:t>2. Органи управління та посадові особи. Організаційна структура</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en-US"/>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7</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3. Структура власності</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en-US"/>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11</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4. Опис господарської та фінансової діяльності</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ru-RU"/>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11</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II. Інформація щодо капіталу та цінних паперів</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ru-RU"/>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31</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1. Цінні папери</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ru-RU"/>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31</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III. Фінансова інформація</w:t>
            </w:r>
          </w:p>
          <w:p w:rsidR="00970283" w:rsidRPr="00157228" w:rsidRDefault="00970283" w:rsidP="00970283">
            <w:pPr>
              <w:widowControl w:val="0"/>
              <w:autoSpaceDE w:val="0"/>
              <w:autoSpaceDN w:val="0"/>
              <w:adjustRightInd w:val="0"/>
              <w:rPr>
                <w:rFonts w:ascii="Times New Roman CYR" w:hAnsi="Times New Roman CYR" w:cs="Times New Roman CYR"/>
                <w:bCs/>
                <w:sz w:val="24"/>
                <w:szCs w:val="24"/>
                <w:lang w:val="ru-RU"/>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1. Проміжна фінансова звітність</w:t>
            </w:r>
          </w:p>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3. Твердження щодо проміжної інформації</w:t>
            </w:r>
          </w:p>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4. Значні правочини та правочини із заінтересованістю</w:t>
            </w:r>
          </w:p>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r w:rsidR="00970283" w:rsidRPr="00157228" w:rsidTr="00157228">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IV. Нефінансова інформація</w:t>
            </w:r>
          </w:p>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r w:rsidR="00970283" w:rsidRPr="00157228" w:rsidTr="00157228">
        <w:trPr>
          <w:trHeight w:val="116"/>
        </w:trPr>
        <w:tc>
          <w:tcPr>
            <w:tcW w:w="9039" w:type="dxa"/>
          </w:tcPr>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r w:rsidRPr="00157228">
              <w:rPr>
                <w:rFonts w:ascii="Times New Roman CYR" w:hAnsi="Times New Roman CYR" w:cs="Times New Roman CYR"/>
                <w:sz w:val="24"/>
                <w:szCs w:val="24"/>
              </w:rPr>
              <w:t>1. Проміжний звіт керівництва</w:t>
            </w:r>
          </w:p>
          <w:p w:rsidR="00970283" w:rsidRPr="00157228" w:rsidRDefault="00970283" w:rsidP="00970283">
            <w:pPr>
              <w:widowControl w:val="0"/>
              <w:autoSpaceDE w:val="0"/>
              <w:autoSpaceDN w:val="0"/>
              <w:adjustRightInd w:val="0"/>
              <w:rPr>
                <w:rFonts w:ascii="Times New Roman CYR" w:hAnsi="Times New Roman CYR" w:cs="Times New Roman CYR"/>
                <w:sz w:val="24"/>
                <w:szCs w:val="24"/>
              </w:rPr>
            </w:pPr>
          </w:p>
        </w:tc>
        <w:tc>
          <w:tcPr>
            <w:tcW w:w="1688" w:type="dxa"/>
          </w:tcPr>
          <w:p w:rsidR="00970283" w:rsidRPr="00157228" w:rsidRDefault="00970283">
            <w:pPr>
              <w:widowControl w:val="0"/>
              <w:autoSpaceDE w:val="0"/>
              <w:autoSpaceDN w:val="0"/>
              <w:adjustRightInd w:val="0"/>
              <w:jc w:val="center"/>
              <w:rPr>
                <w:rFonts w:ascii="Times New Roman CYR" w:hAnsi="Times New Roman CYR" w:cs="Times New Roman CYR"/>
                <w:bCs/>
                <w:sz w:val="24"/>
                <w:szCs w:val="24"/>
                <w:lang w:val="en-US"/>
              </w:rPr>
            </w:pPr>
            <w:r w:rsidRPr="00157228">
              <w:rPr>
                <w:rFonts w:ascii="Times New Roman CYR" w:hAnsi="Times New Roman CYR" w:cs="Times New Roman CYR"/>
                <w:bCs/>
                <w:sz w:val="24"/>
                <w:szCs w:val="24"/>
                <w:lang w:val="en-US"/>
              </w:rPr>
              <w:t>33</w:t>
            </w:r>
          </w:p>
        </w:tc>
      </w:tr>
    </w:tbl>
    <w:p w:rsidR="00970283" w:rsidRPr="00157228" w:rsidRDefault="00970283">
      <w:pPr>
        <w:widowControl w:val="0"/>
        <w:autoSpaceDE w:val="0"/>
        <w:autoSpaceDN w:val="0"/>
        <w:adjustRightInd w:val="0"/>
        <w:spacing w:after="0" w:line="240" w:lineRule="auto"/>
        <w:jc w:val="center"/>
        <w:rPr>
          <w:rFonts w:ascii="Times New Roman CYR" w:hAnsi="Times New Roman CYR" w:cs="Times New Roman CYR"/>
          <w:bCs/>
          <w:sz w:val="24"/>
          <w:szCs w:val="24"/>
          <w:lang w:val="ru-RU"/>
        </w:rPr>
      </w:pPr>
    </w:p>
    <w:p w:rsidR="00970283" w:rsidRPr="00970283" w:rsidRDefault="00970283">
      <w:pPr>
        <w:widowControl w:val="0"/>
        <w:autoSpaceDE w:val="0"/>
        <w:autoSpaceDN w:val="0"/>
        <w:adjustRightInd w:val="0"/>
        <w:spacing w:after="0" w:line="240" w:lineRule="auto"/>
        <w:jc w:val="center"/>
        <w:rPr>
          <w:rFonts w:ascii="Times New Roman CYR" w:hAnsi="Times New Roman CYR" w:cs="Times New Roman CYR"/>
          <w:sz w:val="24"/>
          <w:szCs w:val="24"/>
          <w:lang w:val="ru-RU"/>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 Загальна інформація</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"Кохавинська паперова фабрика"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АТ "Кохавинська ПФ"</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22351935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02.02.1995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81740, Україна, Львівська обл., Стрийський р-н, селище Гнiздичiв, вул.Коновальця, будинок 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info@kpf.ua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https://www.kpf.ua/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+38(032)-394-82-77</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711832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514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17.12. - Виробництво паперу та картону</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17.22 - Виробництво паперових виробiв господарсько-побутового та санiтарно-гiгiєнiчного призначення</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46.90 - Неспецiалiзована оптова торгiвля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Однорівнева</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sz w:val="24"/>
          <w:szCs w:val="24"/>
          <w:lang w:val="en-US"/>
        </w:rPr>
      </w:pPr>
    </w:p>
    <w:p w:rsidR="00970283" w:rsidRPr="00970283" w:rsidRDefault="00970283">
      <w:pPr>
        <w:widowControl w:val="0"/>
        <w:autoSpaceDE w:val="0"/>
        <w:autoSpaceDN w:val="0"/>
        <w:adjustRightInd w:val="0"/>
        <w:spacing w:after="0" w:line="240" w:lineRule="auto"/>
        <w:rPr>
          <w:rFonts w:ascii="Times New Roman CYR" w:hAnsi="Times New Roman CYR" w:cs="Times New Roman CYR"/>
          <w:sz w:val="24"/>
          <w:szCs w:val="24"/>
          <w:lang w:val="en-US"/>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"КРЕДОБАНК"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09807862</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UA543253650000000260010036360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USD, UAH, GBP, EUR</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UA503003350000000260052187947</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USD</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UA333003350000000260092187949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UA493003350000000260042187944</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UAH</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970283" w:rsidRDefault="00970283">
      <w:pPr>
        <w:widowControl w:val="0"/>
        <w:autoSpaceDE w:val="0"/>
        <w:autoSpaceDN w:val="0"/>
        <w:adjustRightInd w:val="0"/>
        <w:spacing w:after="0" w:line="240" w:lineRule="auto"/>
        <w:rPr>
          <w:rFonts w:ascii="Times New Roman CYR" w:hAnsi="Times New Roman CYR" w:cs="Times New Roman CYR"/>
          <w:b/>
          <w:bCs/>
          <w:i/>
          <w:iCs/>
          <w:sz w:val="24"/>
          <w:szCs w:val="24"/>
          <w:lang w:val="en-US"/>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Згiдно з реєстром власникiв iменних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Рада директорiв</w:t>
            </w:r>
          </w:p>
        </w:tc>
        <w:tc>
          <w:tcPr>
            <w:tcW w:w="4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 - голова ради директорiв (виконавчий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Васильович - головний 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Чеботарьов Роман Iванович - 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 - невиконавчий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 - невиконавчий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 - невиконавчий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Телетков Олександр Васильович - невиконавчий директор.</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посадових осіб</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Михайло Федорович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Нагялдової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Телетков Олександр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Костирко Iгор Григорович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Невиконвачий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Лариса Михайлiвна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Торговий дiм "Кохавинка"32345451</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32345451</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 22351935, член Наглядової ради</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Романович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виробництва санiтарно-гiгiєнiчних видiв паперу,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1949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Чеботарьов Роман Iванович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фiнансовий директор, член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14.04.2025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2000"/>
        <w:gridCol w:w="1400"/>
        <w:gridCol w:w="1400"/>
        <w:gridCol w:w="11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Сивик Вiталiя Євгенiївна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29.01.2025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350"/>
        <w:gridCol w:w="2250"/>
        <w:gridCol w:w="1300"/>
        <w:gridCol w:w="1300"/>
        <w:gridCol w:w="1200"/>
        <w:gridCol w:w="3600"/>
        <w:gridCol w:w="1400"/>
        <w:gridCol w:w="1900"/>
        <w:gridCol w:w="1100"/>
      </w:tblGrid>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w:t>
            </w:r>
            <w:r>
              <w:rPr>
                <w:rFonts w:ascii="Times New Roman CYR" w:hAnsi="Times New Roman CYR" w:cs="Times New Roman CYR"/>
                <w:sz w:val="20"/>
                <w:szCs w:val="20"/>
              </w:rPr>
              <w:t xml:space="preserve"> (ч/ж)</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29.01.2025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Сивик Вiталiя Євгенiївна</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36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Акцiонерне товариство "Кохавинська паперова фабрика"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22351935</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юрист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+380971181730</w:t>
            </w: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vsyvyk@kpf.ua</w:t>
            </w:r>
          </w:p>
        </w:tc>
        <w:tc>
          <w:tcPr>
            <w:tcW w:w="11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2500"/>
        <w:gridCol w:w="1625"/>
        <w:gridCol w:w="1625"/>
        <w:gridCol w:w="1625"/>
        <w:gridCol w:w="1625"/>
        <w:gridCol w:w="1700"/>
        <w:gridCol w:w="1700"/>
      </w:tblGrid>
      <w:tr w:rsidR="00000000">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Кількість за типами акцій</w:t>
            </w:r>
          </w:p>
        </w:tc>
      </w:tr>
      <w:tr w:rsidR="00000000">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привілейовані іменні</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Михайло Федорович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562 112</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19,7417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562 112</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Телетков Олександр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316 786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11,1257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316 786</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Костирко Iгор Григорович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339 380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11,9192</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339 380</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Невиконвачий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Титикало Лариса Михайлiвна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462 529</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16,2443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462 529</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Романович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224 495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7,8844</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224 495</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Головний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Пирiг Роман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2 400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0,0842</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2 400</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B0599B">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Організаційна структура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https://www.kpf.ua/wp-content/uploads/2026/07/organizaczijna-struktura-upravlinnya-stanom-na-30.06.2026.pdf.p7s.zip</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https://www.kpf.ua/wp-content/uploads/2026/07/struktura-vlasnosti-tovarystva-stanom-na-30.06.2026.pdf.p7s.zip</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w:t>
      </w:r>
      <w:r>
        <w:rPr>
          <w:rFonts w:ascii="Times New Roman CYR" w:hAnsi="Times New Roman CYR" w:cs="Times New Roman CYR"/>
          <w:b/>
          <w:bCs/>
          <w:i/>
          <w:iCs/>
          <w:sz w:val="24"/>
          <w:szCs w:val="24"/>
        </w:rPr>
        <w:t>ис господарської та фінансової діяльності</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w:t>
      </w:r>
      <w:r>
        <w:rPr>
          <w:rFonts w:ascii="Times New Roman CYR" w:hAnsi="Times New Roman CYR" w:cs="Times New Roman CYR"/>
          <w:sz w:val="24"/>
          <w:szCs w:val="24"/>
        </w:rPr>
        <w:t>я на вебсайт об'єднання.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ВЕО "Укрвторма" - українське виробничо-екологiчне об'єднання пiдприємств України, що займаються заготiвлею та використанням у господарськiй дiяльностi вторинних матерiальних ресурсiв ( м. Київ, вул. Руданського,4-6,3 секцiя, офiс </w:t>
      </w:r>
      <w:r>
        <w:rPr>
          <w:rFonts w:ascii="Times New Roman CYR" w:hAnsi="Times New Roman CYR" w:cs="Times New Roman CYR"/>
          <w:sz w:val="24"/>
          <w:szCs w:val="24"/>
        </w:rPr>
        <w:t>№10, 04112);</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Асоцiацiя "УкрПапiр" - асоцiацiя українських пiдприємств целюлозно-паперової галузi ( м. Київ, вул. Євгена Сверстюка,19, кв.1118, 02002);</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Львiвська торгово-промислова палата ( м. Львiв, вул.Стрийський парк,14,79011);</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Львiвське обласне об'єд</w:t>
      </w:r>
      <w:r>
        <w:rPr>
          <w:rFonts w:ascii="Times New Roman CYR" w:hAnsi="Times New Roman CYR" w:cs="Times New Roman CYR"/>
          <w:sz w:val="24"/>
          <w:szCs w:val="24"/>
        </w:rPr>
        <w:t>нання органiзацiй роботодавцiв - об'єднання створене з метою сприяння розвитку пiдприємництва Львiвщини та захисту вiтчизняного товаровиробника  (м. Львiв,вул.Городоцька,174,79022);</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Асоцiацiя Товарної Нумерацiї України "ДжiЕс1 Україна" - участь у всесвiтн</w:t>
      </w:r>
      <w:r>
        <w:rPr>
          <w:rFonts w:ascii="Times New Roman CYR" w:hAnsi="Times New Roman CYR" w:cs="Times New Roman CYR"/>
          <w:sz w:val="24"/>
          <w:szCs w:val="24"/>
        </w:rPr>
        <w:t>iй системi товарної нумерацiї GS1 (використання штрих-кодiв).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w:t>
      </w:r>
      <w:r>
        <w:rPr>
          <w:rFonts w:ascii="Times New Roman CYR" w:hAnsi="Times New Roman CYR" w:cs="Times New Roman CYR"/>
          <w:sz w:val="24"/>
          <w:szCs w:val="24"/>
        </w:rPr>
        <w:t>ансовий результат за звiтний рiк з кожного виду спiльної дiяльностi.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Опис обраної облiкової полiтики (метод нарахування амортизацiї, метод оцiнки вартостi </w:t>
      </w:r>
      <w:r>
        <w:rPr>
          <w:rFonts w:ascii="Times New Roman CYR" w:hAnsi="Times New Roman CYR" w:cs="Times New Roman CYR"/>
          <w:sz w:val="24"/>
          <w:szCs w:val="24"/>
        </w:rPr>
        <w:t>запасiв, метод облiку та оцiнки вартостi фiнансових iнвестицiй тощо).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Загальнi засади органiзацiї облiку.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ведеться вiдповiдно до МСФЗ, Закону України "Про бухгалтерський облiк i фiнансову звiтнiсть" та iнших нормативних актiв.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Вiдповiдальнiсть розподiлена: головний бухгалтер вiдповiдає за бухгалтерський i податковий облiк, фiнансовий директор - за управлiнський.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здiйснюється автоматизовано з використанням програми "1С:Пiдприємство".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-Первинний облiк та документообiг.</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w:t>
      </w:r>
      <w:r>
        <w:rPr>
          <w:rFonts w:ascii="Times New Roman CYR" w:hAnsi="Times New Roman CYR" w:cs="Times New Roman CYR"/>
          <w:sz w:val="24"/>
          <w:szCs w:val="24"/>
        </w:rPr>
        <w:t>рвиннi документи складаються пiд час або одразу пiсля здiйснення операцiй, допускається їх створення на паперових чи електронних носiях iз застосуванням факсимiле. Передбаченi правила архiвування, iнвентаризацiї та внутрiшнього документообiгу.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Критерiї </w:t>
      </w:r>
      <w:r>
        <w:rPr>
          <w:rFonts w:ascii="Times New Roman CYR" w:hAnsi="Times New Roman CYR" w:cs="Times New Roman CYR"/>
          <w:sz w:val="24"/>
          <w:szCs w:val="24"/>
        </w:rPr>
        <w:t>суттєвостi та принципи облiку.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Встановленi кiлькiснi пороги суттєвостi: наприклад, 3% вартостi активiв чи зобов'язань, 2% чистого прибутку для доходiв i витрат тощо.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Використовуються принципи автономностi, послiдовностi, безперервностi, превалювання сутн</w:t>
      </w:r>
      <w:r>
        <w:rPr>
          <w:rFonts w:ascii="Times New Roman CYR" w:hAnsi="Times New Roman CYR" w:cs="Times New Roman CYR"/>
          <w:sz w:val="24"/>
          <w:szCs w:val="24"/>
        </w:rPr>
        <w:t>остi над формою та iншi базовi принципи МСФЗ.</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МНМА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основних засобiв належать активи вартiстю понад 20 000 грн зi строком використання понад рiк.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МНМА - вiд 3 000 до 20 000 грн, амортизуються у перший мiсяць використання 100% вартос</w:t>
      </w:r>
      <w:r>
        <w:rPr>
          <w:rFonts w:ascii="Times New Roman CYR" w:hAnsi="Times New Roman CYR" w:cs="Times New Roman CYR"/>
          <w:sz w:val="24"/>
          <w:szCs w:val="24"/>
        </w:rPr>
        <w:t>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основних засобiв - в основному прямолiнiйним методом; можливiсть переоцiнки за справедливою вартiстю. Для суто виробничого обладнання можливий виробничий метод амортизацiї, що зазначається безпосередньо в розпорядженнi на ввiд в експлуатац</w:t>
      </w:r>
      <w:r>
        <w:rPr>
          <w:rFonts w:ascii="Times New Roman CYR" w:hAnsi="Times New Roman CYR" w:cs="Times New Roman CYR"/>
          <w:sz w:val="24"/>
          <w:szCs w:val="24"/>
        </w:rPr>
        <w:t>iю</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вiдповiдно до МСБО 36; амортизацiя прямолiнiйним методом, строк корисного використання до 20 рокiв.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дослiдження, рекламу, пiдготовку кадрiв не визнаються активами.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за МСБО 2; оцiнка при вибуттi - за методом ФIФО.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МШП вартiстю до 2 000 грн списуються одразу при введеннi в експлуатацiю.</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Нелiквiднi запаси облiковуються на позабалансових рахунках.</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Первiсне визнання - за справедливою </w:t>
      </w:r>
      <w:r>
        <w:rPr>
          <w:rFonts w:ascii="Times New Roman CYR" w:hAnsi="Times New Roman CYR" w:cs="Times New Roman CYR"/>
          <w:sz w:val="24"/>
          <w:szCs w:val="24"/>
        </w:rPr>
        <w:t>вартiстю; у звiтностi короткострокова заборгованiсть вiдображається за чистою вартiстю реалiзацiї (з урахуванням резерву сумнiвних боргiв).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i резерви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Подiл на довгостроковi та поточнi, оцiнка за теперiшньою вартiстю або сумою погашення.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w:t>
      </w:r>
      <w:r>
        <w:rPr>
          <w:rFonts w:ascii="Times New Roman CYR" w:hAnsi="Times New Roman CYR" w:cs="Times New Roman CYR"/>
          <w:sz w:val="24"/>
          <w:szCs w:val="24"/>
        </w:rPr>
        <w:t>ворюється забезпечення на виплати вiдпусток, а також резервування iнших зобов'язань (наприклад, пiд рiчний аудит, капiтальний ремонт та експлуатацiйнi витрати тощо).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та калькулювання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Використовується нормативний метод облiку витрат, базований на</w:t>
      </w:r>
      <w:r>
        <w:rPr>
          <w:rFonts w:ascii="Times New Roman CYR" w:hAnsi="Times New Roman CYR" w:cs="Times New Roman CYR"/>
          <w:sz w:val="24"/>
          <w:szCs w:val="24"/>
        </w:rPr>
        <w:t xml:space="preserve"> технiчних умовах i нормах сировини.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Норми технiчно неминучого браку уточненi у 2020 роцi згiдно з новими ТУ та ДСТУ.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Облiкова полiтика фабрики вiдповiдає ви</w:t>
      </w:r>
      <w:r>
        <w:rPr>
          <w:rFonts w:ascii="Times New Roman CYR" w:hAnsi="Times New Roman CYR" w:cs="Times New Roman CYR"/>
          <w:sz w:val="24"/>
          <w:szCs w:val="24"/>
        </w:rPr>
        <w:t>могам МСФЗ та адаптована пiд специфiку паперового виробництва. Основнi акценти зробленi на автоматизацiї облiку, чiтких критерiях визнання активiв, застосуваннi моделi переоцiнки основних засобiв, нормативному методi калькулювання витрат i жорстких вимогах</w:t>
      </w:r>
      <w:r>
        <w:rPr>
          <w:rFonts w:ascii="Times New Roman CYR" w:hAnsi="Times New Roman CYR" w:cs="Times New Roman CYR"/>
          <w:sz w:val="24"/>
          <w:szCs w:val="24"/>
        </w:rPr>
        <w:t xml:space="preserve"> до документального пiдтвердження операцiй.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фiнансування дiяльностi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Джерела фiнансування: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w:t>
      </w:r>
      <w:r>
        <w:rPr>
          <w:rFonts w:ascii="Times New Roman CYR" w:hAnsi="Times New Roman CYR" w:cs="Times New Roman CYR"/>
          <w:sz w:val="24"/>
          <w:szCs w:val="24"/>
        </w:rPr>
        <w:t xml:space="preserve">лiтика пiдприємства орiєнтована на ведення облiку та складання звiтностi вiдповiдно до МСФЗ, що передбачає прозоре вiдображення як власного, так i залученого капiталу. У наказi про облiкову полiтику чiтко визначено порядок облiку довгострокових i поточних </w:t>
      </w:r>
      <w:r>
        <w:rPr>
          <w:rFonts w:ascii="Times New Roman CYR" w:hAnsi="Times New Roman CYR" w:cs="Times New Roman CYR"/>
          <w:sz w:val="24"/>
          <w:szCs w:val="24"/>
        </w:rPr>
        <w:t>зобов'язань - довгостроковi оцiнюються за теперiшньою вартiстю, короткостроковi - за сумою погашення. Це вiдповiдає консервативному пiдходу до управлiння боргом.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i резерви: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Створюються резерви пiд зобов'язання за невикористанi вiдпустки та i</w:t>
      </w:r>
      <w:r>
        <w:rPr>
          <w:rFonts w:ascii="Times New Roman CYR" w:hAnsi="Times New Roman CYR" w:cs="Times New Roman CYR"/>
          <w:sz w:val="24"/>
          <w:szCs w:val="24"/>
        </w:rPr>
        <w:t>ншi господарсько-виробничi потреби. Це не тiльки знижує навантаження на фiнансовий результат у короткостроковому перiодi, але потенцiйно зменшує ризики для майбутнiх перiодiв.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Фiнансування iнвестицiй: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облiковуються за справедливою вартiстю</w:t>
      </w:r>
      <w:r>
        <w:rPr>
          <w:rFonts w:ascii="Times New Roman CYR" w:hAnsi="Times New Roman CYR" w:cs="Times New Roman CYR"/>
          <w:sz w:val="24"/>
          <w:szCs w:val="24"/>
        </w:rPr>
        <w:t xml:space="preserve"> (переоцiнка), що дозволяє формувати бiльший власний капiтал за рахунок дооцiнки i тим самим пiдвищувати кредитоспроможнiсть.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-Достатнiсть робочого капiталу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обiгу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Запаси облiковуються за ФIФО i оцiнюються за найменшою з двох оцiнок (со</w:t>
      </w:r>
      <w:r>
        <w:rPr>
          <w:rFonts w:ascii="Times New Roman CYR" w:hAnsi="Times New Roman CYR" w:cs="Times New Roman CYR"/>
          <w:sz w:val="24"/>
          <w:szCs w:val="24"/>
        </w:rPr>
        <w:t>бiвартiсть або чиста вартiсть реалiзацiї), що сприяє адекватному вiдображенню лiквiдностi запасiв. МШП списуються одразу, що знижує ризик завищення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Вiдображається за чистою вартiстю реалiзацiї з формуванням резерву сумнiвних боргiв, що дозволяє адекватнiше оцiнювати обiговий капiтал.</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i поточнi зобов'язання: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Операцiйний цикл встановлено на рiвнi одного мiсяця, що є досить коротким для в</w:t>
      </w:r>
      <w:r>
        <w:rPr>
          <w:rFonts w:ascii="Times New Roman CYR" w:hAnsi="Times New Roman CYR" w:cs="Times New Roman CYR"/>
          <w:sz w:val="24"/>
          <w:szCs w:val="24"/>
        </w:rPr>
        <w:t>иробничого пiдприємства. Це означає, що фiнансування обiгових активiв здебiльшого вiдбувається через власнi кошти вiд реалiзацiї продукцiї. З огляду на специфiку пiдприємства (виробництво з безперервним циклом i значною потребою в запасах), такий пiдхiд ви</w:t>
      </w:r>
      <w:r>
        <w:rPr>
          <w:rFonts w:ascii="Times New Roman CYR" w:hAnsi="Times New Roman CYR" w:cs="Times New Roman CYR"/>
          <w:sz w:val="24"/>
          <w:szCs w:val="24"/>
        </w:rPr>
        <w:t>глядає збалансованим.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Можливi шляхи покращення лiквiдностi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дебiторською заборгованiстю: жорсткiший контроль термiнiв оплати, введення знижок за дострокову оплату, переведення частини клiєнтiв на передоплату.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Оптимiзацiя запасiв: перегляд но</w:t>
      </w:r>
      <w:r>
        <w:rPr>
          <w:rFonts w:ascii="Times New Roman CYR" w:hAnsi="Times New Roman CYR" w:cs="Times New Roman CYR"/>
          <w:sz w:val="24"/>
          <w:szCs w:val="24"/>
        </w:rPr>
        <w:t>рмативiв технiчно неминучого браку (особливо пiсля змiни ТУ у 2020 р.), використання системи управлiння запасами "just-in-time" для зниження рiвня складських залишкiв.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Керування зобов'язаннями: переговори з постачальниками щодо збiльшення вiдстрочок плате</w:t>
      </w:r>
      <w:r>
        <w:rPr>
          <w:rFonts w:ascii="Times New Roman CYR" w:hAnsi="Times New Roman CYR" w:cs="Times New Roman CYR"/>
          <w:sz w:val="24"/>
          <w:szCs w:val="24"/>
        </w:rPr>
        <w:t>жiв без штрафних санкцiй, використання факторингу чи банкiвських кредитних лiнiй для пiдтримки обiгових коштiв у пiковi перiоди.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гнучкiсть: використання дооцiнки основних засобiв для залучення довгострокових кредитiв пiд заставу.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w:t>
      </w:r>
      <w:r>
        <w:rPr>
          <w:rFonts w:ascii="Times New Roman CYR" w:hAnsi="Times New Roman CYR" w:cs="Times New Roman CYR"/>
          <w:sz w:val="24"/>
          <w:szCs w:val="24"/>
        </w:rPr>
        <w:t xml:space="preserve">а фiнансування дiяльностi пiдприємства є досить консервативною: необхiдний рiвень резервiв, обережнiсть у вiдображеннi дебiторки та запасiв, короткий операцiйний цикл. Це свiдчить про прагнення зберегти позитивний робочий капiтал i фiнансуватися переважно </w:t>
      </w:r>
      <w:r>
        <w:rPr>
          <w:rFonts w:ascii="Times New Roman CYR" w:hAnsi="Times New Roman CYR" w:cs="Times New Roman CYR"/>
          <w:sz w:val="24"/>
          <w:szCs w:val="24"/>
        </w:rPr>
        <w:t>за рахунок операцiйних потокiв.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 з тим, для покращення лiквiдностi пiдприємству доцiльно активнiше управляти дебiторкою та запасами, а також розглянути iнструменти фiнансування оборотного капiталу (факторинг, кредитнi лiнiї).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w:t>
      </w:r>
      <w:r>
        <w:rPr>
          <w:rFonts w:ascii="Times New Roman CYR" w:hAnsi="Times New Roman CYR" w:cs="Times New Roman CYR"/>
          <w:sz w:val="24"/>
          <w:szCs w:val="24"/>
        </w:rPr>
        <w:t xml:space="preserve">ослiджень та розробок, сума витрат на дослiдження та розробку за звiтний рiк.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Дослiдженнями та розробками в звiтному перiодi Товариство не займалось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пунктом 5 не зазначається, якщо законом така iнформацiя визнана iнформацiєю з о</w:t>
      </w:r>
      <w:r>
        <w:rPr>
          <w:rFonts w:ascii="Times New Roman CYR" w:hAnsi="Times New Roman CYR" w:cs="Times New Roman CYR"/>
          <w:sz w:val="24"/>
          <w:szCs w:val="24"/>
        </w:rPr>
        <w:t>бмеженим доступом.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 / надає особа;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Виробництво паперу та паперових виробiв господарсько-побутового та санiтарно-гiгiєнiчного призначення. Папiр для виробiв побутового призначення (макулатурний та целюлозний). Санiтарно-гiгiєнiчнi вироби з паперу (папiр туалетний в рулончиках, рушнички папер</w:t>
      </w:r>
      <w:r>
        <w:rPr>
          <w:rFonts w:ascii="Times New Roman CYR" w:hAnsi="Times New Roman CYR" w:cs="Times New Roman CYR"/>
          <w:sz w:val="24"/>
          <w:szCs w:val="24"/>
        </w:rPr>
        <w:t>овi в рулонах, рушнички паперовi в аркушах, серветки паперовi) також, як макулатурнi, так i целюлознi.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(у натуральному та грошовому виразi);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обсяги виробництва паперу-основи у натуральному виразi 6 144,23 тон та грошовому виразi -</w:t>
      </w:r>
      <w:r>
        <w:rPr>
          <w:rFonts w:ascii="Times New Roman CYR" w:hAnsi="Times New Roman CYR" w:cs="Times New Roman CYR"/>
          <w:sz w:val="24"/>
          <w:szCs w:val="24"/>
        </w:rPr>
        <w:t xml:space="preserve"> 306 691,70 тис.грн;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обсяги виробництва виробiв санiтарно-гiгiєнiчного та побутового призначення у натуральному виразi 49 139,584 тис.шт. та грошовому виразi - 444 027,67 тис.грн.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Вiдповiдають середньоринковим ц</w:t>
      </w:r>
      <w:r>
        <w:rPr>
          <w:rFonts w:ascii="Times New Roman CYR" w:hAnsi="Times New Roman CYR" w:cs="Times New Roman CYR"/>
          <w:sz w:val="24"/>
          <w:szCs w:val="24"/>
        </w:rPr>
        <w:t>iнам</w:t>
      </w:r>
      <w:r>
        <w:rPr>
          <w:rFonts w:ascii="Times New Roman CYR" w:hAnsi="Times New Roman CYR" w:cs="Times New Roman CYR"/>
          <w:sz w:val="24"/>
          <w:szCs w:val="24"/>
        </w:rPr>
        <w:tab/>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реалiзацiї продукцiї за II квартал 2026 р. склав - 740 625,7 тис.грн.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357 075,8 тис.грн., частка експорту в загаль</w:t>
      </w:r>
      <w:r>
        <w:rPr>
          <w:rFonts w:ascii="Times New Roman CYR" w:hAnsi="Times New Roman CYR" w:cs="Times New Roman CYR"/>
          <w:sz w:val="24"/>
          <w:szCs w:val="24"/>
        </w:rPr>
        <w:t>ному обсязi продажiв 48,2%.</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немає</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ТД "Кохавинка"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"Українська логiстична група"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 "Афiна груп"</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"BM plus spol. s r. o. ", Чехiя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"G. Е. Trade Kft", Угорщина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Україна, Чехiя, Угорщина, Словаччина, Молдова, Румунiя, Швецiя та iн.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Нацiональнi та регiональнi мережi, HORECA, дистрибуцiя.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w:t>
      </w:r>
      <w:r>
        <w:rPr>
          <w:rFonts w:ascii="Times New Roman CYR" w:hAnsi="Times New Roman CYR" w:cs="Times New Roman CYR"/>
          <w:sz w:val="24"/>
          <w:szCs w:val="24"/>
        </w:rPr>
        <w:t>стачальники та види товарiв та/або послуг, якi вони постачають/надають особi, країни з яких здiйснюється постачання/надання товарiв/послуг;</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Baltliner OU (постачання сировини) - Постачання з Польщi та Латвiї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TSC Sp z.o.o. (постачан</w:t>
      </w:r>
      <w:r>
        <w:rPr>
          <w:rFonts w:ascii="Times New Roman CYR" w:hAnsi="Times New Roman CYR" w:cs="Times New Roman CYR"/>
          <w:sz w:val="24"/>
          <w:szCs w:val="24"/>
        </w:rPr>
        <w:t>ня сировини та хiмiкатiв) - постачання з Польщi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ПП "ТрансПак" (надання послуг з автомобiльних вантажних перевезень в Українi за її межами  (Польща, Чехiя, Угорщина, Словаччина та iн.).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ТзОВ "Шляхбудсервiс-Д" - виконання будiвельно-монтажних робiт.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II кварталi 2026 року галузь виробництва паперу та санiтарно-гiгiєнiчної продукцiї в Українi продовжувала функцiонувати в умовах воєнного стану та збереження основних ризикiв, хара</w:t>
      </w:r>
      <w:r>
        <w:rPr>
          <w:rFonts w:ascii="Times New Roman CYR" w:hAnsi="Times New Roman CYR" w:cs="Times New Roman CYR"/>
          <w:sz w:val="24"/>
          <w:szCs w:val="24"/>
        </w:rPr>
        <w:t>ктерних для попереднiх звiтних перiодiв. Водночас упродовж звiтного кварталу суттєвого структурного перелому в розвитку галузi не вiдбулося, а ключовi тенденцiї мали переважно продовжувальний характер.</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Визначальними факторами для пiдприємств галузi залиша</w:t>
      </w:r>
      <w:r>
        <w:rPr>
          <w:rFonts w:ascii="Times New Roman CYR" w:hAnsi="Times New Roman CYR" w:cs="Times New Roman CYR"/>
          <w:sz w:val="24"/>
          <w:szCs w:val="24"/>
        </w:rPr>
        <w:t>лися вартiсть енергоресурсiв, залежнiсть вiд iмпортної первинної целюлози та окремих хiмiчних компонентiв, валютнi коливання, логiстичнi ризики та конкурентний тиск з боку вiтчизняних i iноземних виробникiв.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сегментi санiтарно-гiгiєнiчної продукцiї збер</w:t>
      </w:r>
      <w:r>
        <w:rPr>
          <w:rFonts w:ascii="Times New Roman CYR" w:hAnsi="Times New Roman CYR" w:cs="Times New Roman CYR"/>
          <w:sz w:val="24"/>
          <w:szCs w:val="24"/>
        </w:rPr>
        <w:t>iгався вiдносно стабiльний попит, що обумовлено належнiстю такої продукцiї до товарiв повсякденного споживання. Водночас споживачi залишалися чутливими до змiни цiн, що пiдтримувало попит на продукцiю економiчного та середнього цiнових сегментiв та посилюв</w:t>
      </w:r>
      <w:r>
        <w:rPr>
          <w:rFonts w:ascii="Times New Roman CYR" w:hAnsi="Times New Roman CYR" w:cs="Times New Roman CYR"/>
          <w:sz w:val="24"/>
          <w:szCs w:val="24"/>
        </w:rPr>
        <w:t>ало конкуренцiю мiж виробниками.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II кварталу 2026 року зберiгався тиск на собiвартiсть та маржинальнiсть виробництва. Вартiсть сировини, енергоресурсiв, допомiжних матерiалiв i логiстичних послуг залишалася одним iз ключових чинникiв формування ф</w:t>
      </w:r>
      <w:r>
        <w:rPr>
          <w:rFonts w:ascii="Times New Roman CYR" w:hAnsi="Times New Roman CYR" w:cs="Times New Roman CYR"/>
          <w:sz w:val="24"/>
          <w:szCs w:val="24"/>
        </w:rPr>
        <w:t>iнансових результатiв пiдприємств галузi. Можливостi повного перенесення зростання виробничих витрат на кiнцеву цiну продукцiї залишалися обмеженими через високу цiнову чутливiсть споживачiв та конкурентне середовище.</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галузi вiд iмпортної сиров</w:t>
      </w:r>
      <w:r>
        <w:rPr>
          <w:rFonts w:ascii="Times New Roman CYR" w:hAnsi="Times New Roman CYR" w:cs="Times New Roman CYR"/>
          <w:sz w:val="24"/>
          <w:szCs w:val="24"/>
        </w:rPr>
        <w:t>ини продовжувала зумовлювати чутливiсть виробникiв до валютних коливань та умов мiжнародної логiстики. У зв'язку з цим пiдприємства придiляли значну увагу диверсифiкацiї постачальникiв, плануванню закупiвель та пiдтриманню необхiдного рiвня запасiв сировин</w:t>
      </w:r>
      <w:r>
        <w:rPr>
          <w:rFonts w:ascii="Times New Roman CYR" w:hAnsi="Times New Roman CYR" w:cs="Times New Roman CYR"/>
          <w:sz w:val="24"/>
          <w:szCs w:val="24"/>
        </w:rPr>
        <w:t>и i матерiалiв.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Актуальними залишалися кадровi виклики, насамперед дефiцит працiвникiв виробничих i технiчних спецiальностей. Мобiлiзацiйнi процеси та мiграцiя робочої сили продовжували впливати на доступнiсть квалiфiкованого персоналу та органiзацiю виро</w:t>
      </w:r>
      <w:r>
        <w:rPr>
          <w:rFonts w:ascii="Times New Roman CYR" w:hAnsi="Times New Roman CYR" w:cs="Times New Roman CYR"/>
          <w:sz w:val="24"/>
          <w:szCs w:val="24"/>
        </w:rPr>
        <w:t>бничих процесiв.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пiдприємства галузi продовжували орiєнтуватися на пiдвищення операцiйної ефективностi, енергозбереження, оптимiзацiю виробничих процесiв та контроль витрат. Iнвестицiйна активнiсть переважно спрямовувалася на модернiзац</w:t>
      </w:r>
      <w:r>
        <w:rPr>
          <w:rFonts w:ascii="Times New Roman CYR" w:hAnsi="Times New Roman CYR" w:cs="Times New Roman CYR"/>
          <w:sz w:val="24"/>
          <w:szCs w:val="24"/>
        </w:rPr>
        <w:t>iю та пiдтримання iснуючих виробничих потужностей, пiдвищення їх енергоефективностi й надiйностi.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сферi збуту зберiгалася важлива роль нацiональних i регiональних торговельних мереж, дистриб'юторських каналiв та прямих контрактiв iз корпоративними клiєн</w:t>
      </w:r>
      <w:r>
        <w:rPr>
          <w:rFonts w:ascii="Times New Roman CYR" w:hAnsi="Times New Roman CYR" w:cs="Times New Roman CYR"/>
          <w:sz w:val="24"/>
          <w:szCs w:val="24"/>
        </w:rPr>
        <w:t>тами. Для вiтчизняних виробникiв конкурентною перевагою залишалася географiчна близькiсть до внутрiшнього споживача та можливiсть оперативнiше реагувати на змiни попиту i потреби торговельних партнерiв.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для безперервностi дiяльностi пiд</w:t>
      </w:r>
      <w:r>
        <w:rPr>
          <w:rFonts w:ascii="Times New Roman CYR" w:hAnsi="Times New Roman CYR" w:cs="Times New Roman CYR"/>
          <w:sz w:val="24"/>
          <w:szCs w:val="24"/>
        </w:rPr>
        <w:t>приємств галузi у II кварталi 2026 року залишалися безпековi фактори, можливi перебої в енергозабезпеченнi, логiстичнi обмеження, валютнi коливання та зростання виробничих витрат.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Загалом стан галузi у II кварталi 2026 року можна охарактеризувати як вiдно</w:t>
      </w:r>
      <w:r>
        <w:rPr>
          <w:rFonts w:ascii="Times New Roman CYR" w:hAnsi="Times New Roman CYR" w:cs="Times New Roman CYR"/>
          <w:sz w:val="24"/>
          <w:szCs w:val="24"/>
        </w:rPr>
        <w:t>сно стiйкий, проте такий, що залишається залежним вiд безпекової ситуацiї, стану енергетичної iнфраструктури, динамiки вартостi сировини та валютних факторiв. Сегмент санiтарно-гiгiєнiчної продукцiї продовжує демонструвати стабiльнiшi характеристики попиту</w:t>
      </w:r>
      <w:r>
        <w:rPr>
          <w:rFonts w:ascii="Times New Roman CYR" w:hAnsi="Times New Roman CYR" w:cs="Times New Roman CYR"/>
          <w:sz w:val="24"/>
          <w:szCs w:val="24"/>
        </w:rPr>
        <w:t xml:space="preserve"> порiвняно з окремими iншими сегментами паперової промисловостi.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займається виготовленням санiтарно-гiгiєнiчної продукцiї (туалетний папiр, рушники, серветки) як з привiзної первинної сировини (листової целюлози) так i шляхом переробки вторинної - (макулатури).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Виготовлення продукцiї з первинної сировини (</w:t>
      </w:r>
      <w:r>
        <w:rPr>
          <w:rFonts w:ascii="Times New Roman CYR" w:hAnsi="Times New Roman CYR" w:cs="Times New Roman CYR"/>
          <w:sz w:val="24"/>
          <w:szCs w:val="24"/>
        </w:rPr>
        <w:t>целюлози) проходить у кiлька етапiв: розпуск листової целюлози, процес розмелювання та дорозпуску, виготовлення паперу-основи на папероробнiй машинi та подальший конвертинг на виробничих лiнiях у готовi листовi та рулоннi продукти.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Випуск продукцiї макула</w:t>
      </w:r>
      <w:r>
        <w:rPr>
          <w:rFonts w:ascii="Times New Roman CYR" w:hAnsi="Times New Roman CYR" w:cs="Times New Roman CYR"/>
          <w:sz w:val="24"/>
          <w:szCs w:val="24"/>
        </w:rPr>
        <w:t>турного сегменту на етапi переробки макулатури проходить у дещо складнiший спосiб, оскiльки потребує кiлька етапiв очищення сировини вiд стороннiх включень (металу, пластику, наповнювачiв). Подальше виготовлення паперу-основи та конвертингу у готовi вироби</w:t>
      </w:r>
      <w:r>
        <w:rPr>
          <w:rFonts w:ascii="Times New Roman CYR" w:hAnsi="Times New Roman CYR" w:cs="Times New Roman CYR"/>
          <w:sz w:val="24"/>
          <w:szCs w:val="24"/>
        </w:rPr>
        <w:t xml:space="preserve"> є аналогiчним iз целюлозним потоком.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II кварталi 2026 року Товариство продовжувало конкурувати з найбiльшими вiтчизняними виробниками паперової продукцiї санiтарно-гiгiєнiчного призначення, </w:t>
      </w:r>
      <w:r>
        <w:rPr>
          <w:rFonts w:ascii="Times New Roman CYR" w:hAnsi="Times New Roman CYR" w:cs="Times New Roman CYR"/>
          <w:sz w:val="24"/>
          <w:szCs w:val="24"/>
        </w:rPr>
        <w:t>а також з iмпортною продукцiєю. За умов високої цiнової чутливостi споживачiв важливими чинниками збереження ринкових позицiй Товариства були конкурентна цiна, стабiльнiсть постачання, якiсть продукцiї та здатнiсть забезпечувати потреби рiзних категорiй сп</w:t>
      </w:r>
      <w:r>
        <w:rPr>
          <w:rFonts w:ascii="Times New Roman CYR" w:hAnsi="Times New Roman CYR" w:cs="Times New Roman CYR"/>
          <w:sz w:val="24"/>
          <w:szCs w:val="24"/>
        </w:rPr>
        <w:t>оживачiв.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Значна роль експортних поставок у дiяльностi Товариства сприяє диверсифiкацiї ринкiв збуту та зменшенню залежностi вiд кон'юнктури виключно внутрiшнього ринку.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Загалом у II кварталi 2026 року АТ "Кохавинська паперова фабрика" зберiгало стiйке к</w:t>
      </w:r>
      <w:r>
        <w:rPr>
          <w:rFonts w:ascii="Times New Roman CYR" w:hAnsi="Times New Roman CYR" w:cs="Times New Roman CYR"/>
          <w:sz w:val="24"/>
          <w:szCs w:val="24"/>
        </w:rPr>
        <w:t>онкурентне становище та вагому присутнiсть у сегментi паперу i продукцiї санiтарно-гiгiєнiчного призначення.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АТ "Кохавинська паперова фабрика" пiд торгiвельною маркою "Кохавинка", "Mildi" та "Кохавинська папiрня" є важливим гравцем галузi.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кон</w:t>
      </w:r>
      <w:r>
        <w:rPr>
          <w:rFonts w:ascii="Times New Roman CYR" w:hAnsi="Times New Roman CYR" w:cs="Times New Roman CYR"/>
          <w:sz w:val="24"/>
          <w:szCs w:val="24"/>
        </w:rPr>
        <w:t>курентами Товариства на ринку паперу санiтарно-гiгiєнiчного призначення є ПАТ "Київський картонно-паперовий комбiнат", ПрАТ "ВГП" та ТОВ ВО "Папiр-Мал", ТОВ "Картонно-паперова компанiя".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є власником таких вiдомих марок як Кохавинка, Mi</w:t>
      </w:r>
      <w:r>
        <w:rPr>
          <w:rFonts w:ascii="Times New Roman CYR" w:hAnsi="Times New Roman CYR" w:cs="Times New Roman CYR"/>
          <w:sz w:val="24"/>
          <w:szCs w:val="24"/>
        </w:rPr>
        <w:t>ldi та КОХАВИНСЬКА ПАПIРНЯ та представлена у багатьох загальноукраїнських торгiвельних сiтках (Епiцентр, АТБ, Ашан, Метро тощо), а також в декiлькох локальних (Копiйочка, Близенько тощо). Товариство є потужним гравцем на ринку тiсс'ю як України, так i Схiд</w:t>
      </w:r>
      <w:r>
        <w:rPr>
          <w:rFonts w:ascii="Times New Roman CYR" w:hAnsi="Times New Roman CYR" w:cs="Times New Roman CYR"/>
          <w:sz w:val="24"/>
          <w:szCs w:val="24"/>
        </w:rPr>
        <w:t>ної Європи з великою часткою експорту (50%+), є великим платником податкiв України та бюджетоутворюючим пiдприємством на територiї здiйснення господарської дiяльностi.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конкуренцiї в галузi, основнi конкуренти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на ринку</w:t>
      </w:r>
      <w:r>
        <w:rPr>
          <w:rFonts w:ascii="Times New Roman CYR" w:hAnsi="Times New Roman CYR" w:cs="Times New Roman CYR"/>
          <w:sz w:val="24"/>
          <w:szCs w:val="24"/>
        </w:rPr>
        <w:t xml:space="preserve"> паперу та продукцiї санiтарно-гiгiєнiчного призначення залишається високим. Конкуренцiя мiж виробниками здiйснюється насамперед за цiною, якiстю продукцiї, широтою асортименту, впiзнаванiстю торговельних марок, стабiльнiстю та оперативнiстю постачання, а </w:t>
      </w:r>
      <w:r>
        <w:rPr>
          <w:rFonts w:ascii="Times New Roman CYR" w:hAnsi="Times New Roman CYR" w:cs="Times New Roman CYR"/>
          <w:sz w:val="24"/>
          <w:szCs w:val="24"/>
        </w:rPr>
        <w:t>також присутнiстю продукцiї у нацiональних i регiональних торговельних мережах.</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конкурентами Товариства на ринку паперу та продукцiї санiтарно-гiгiєнiчного призначення є ПрАТ "Київський картонно-паперовий комбiнат" та ПрАТ "ВГП", якi мають значн</w:t>
      </w:r>
      <w:r>
        <w:rPr>
          <w:rFonts w:ascii="Times New Roman CYR" w:hAnsi="Times New Roman CYR" w:cs="Times New Roman CYR"/>
          <w:sz w:val="24"/>
          <w:szCs w:val="24"/>
        </w:rPr>
        <w:t>i виробничi потужностi та сформованi позицiї на внутрiшньому ринку. Конкурентний тиск також створюють iншi вiтчизнянi виробники вiдповiдної продукцiї та iмпортна продукцiя, представлена на українському ринку.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II кварталi 2026 року конкурентне середовище характеризувалося високою цiновою чутливiстю споживачiв та посиленою увагою торговельних мереж до спiввiдношення цiни i якостi продукцiї, стабiльностi поставок та умов спiвпрацi. Важливим фактором конкуренцiї </w:t>
      </w:r>
      <w:r>
        <w:rPr>
          <w:rFonts w:ascii="Times New Roman CYR" w:hAnsi="Times New Roman CYR" w:cs="Times New Roman CYR"/>
          <w:sz w:val="24"/>
          <w:szCs w:val="24"/>
        </w:rPr>
        <w:t>залишається також виробництво продукцiї пiд власними торговельними марками торговельних мереж (private label).</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таких умов конкурентоспроможнiсть пiдприємств галузi значною мiрою залежить вiд ефективностi виробництва, контролю собiвартостi, забезпечення</w:t>
      </w:r>
      <w:r>
        <w:rPr>
          <w:rFonts w:ascii="Times New Roman CYR" w:hAnsi="Times New Roman CYR" w:cs="Times New Roman CYR"/>
          <w:sz w:val="24"/>
          <w:szCs w:val="24"/>
        </w:rPr>
        <w:t xml:space="preserve"> стабiльного постачання сировини, гнучкостi асортиментної та цiнової полiтики, а також здатностi оперативно реагувати на змiни споживчого попиту.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конкурентами пiдприємства на ринку паперу санiтарно-гiгiєнiчного призначення є ПрАТ "Київський кар</w:t>
      </w:r>
      <w:r>
        <w:rPr>
          <w:rFonts w:ascii="Times New Roman CYR" w:hAnsi="Times New Roman CYR" w:cs="Times New Roman CYR"/>
          <w:sz w:val="24"/>
          <w:szCs w:val="24"/>
        </w:rPr>
        <w:t>тонно-паперовий комбiнат", ПрАТ "ВГП". Помiтними учасниками ринку залишаються також ТОВ ВО "Папiр-Мал", та ТОВ "Картонно-паперова компанiя".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Загалом аналiз структури ринку свiдчить про високий рiвень конкуренцiї серед виробникiв паперу санiтарно-гiгiєнiчн</w:t>
      </w:r>
      <w:r>
        <w:rPr>
          <w:rFonts w:ascii="Times New Roman CYR" w:hAnsi="Times New Roman CYR" w:cs="Times New Roman CYR"/>
          <w:sz w:val="24"/>
          <w:szCs w:val="24"/>
        </w:rPr>
        <w:t>ого призначення, водночас АТ "Кохавинська паперова фабрика" посiдає одне з провiдних мiсць серед виробникiв цiєї продукцiї в Українi.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Збiльшення обсягiв виробництва продукцiї та розширення ринкiв збуту продукцiї.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 Опис ризикiв, як притаманнi дiяльностi особи, пiдходи до управлiння ризиками, заходи особи щодо зменшення впливу ризикiв.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i управлiння ризиками визначає всi внутрiшнi правила та процедури контролю, запровадженi керiвництвом</w:t>
      </w:r>
      <w:r>
        <w:rPr>
          <w:rFonts w:ascii="Times New Roman CYR" w:hAnsi="Times New Roman CYR" w:cs="Times New Roman CYR"/>
          <w:sz w:val="24"/>
          <w:szCs w:val="24"/>
        </w:rPr>
        <w:t xml:space="preserve"> для досягнення поставленої мети - забезпечення (в межах можливого) стабiльного i ефективного функцiонування Товариства, дотримання внутрiшньогосподарської полiтики, збереження та рацiонального використання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здiйсненнi внутрiшнього контролю i </w:t>
      </w:r>
      <w:r>
        <w:rPr>
          <w:rFonts w:ascii="Times New Roman CYR" w:hAnsi="Times New Roman CYR" w:cs="Times New Roman CYR"/>
          <w:sz w:val="24"/>
          <w:szCs w:val="24"/>
        </w:rPr>
        <w:t>управлiння ризиками в Товариствi використовуються рiзнi методи, вони включають в себе такi елементи, як: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w:t>
      </w:r>
      <w:r>
        <w:rPr>
          <w:rFonts w:ascii="Times New Roman CYR" w:hAnsi="Times New Roman CYR" w:cs="Times New Roman CYR"/>
          <w:sz w:val="24"/>
          <w:szCs w:val="24"/>
        </w:rPr>
        <w:t>зкiв, нормування витрат);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w:t>
      </w:r>
      <w:r>
        <w:rPr>
          <w:rFonts w:ascii="Times New Roman CYR" w:hAnsi="Times New Roman CYR" w:cs="Times New Roman CYR"/>
          <w:sz w:val="24"/>
          <w:szCs w:val="24"/>
        </w:rPr>
        <w:t>ування).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ризиками Товариства.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Особами, в</w:t>
      </w:r>
      <w:r>
        <w:rPr>
          <w:rFonts w:ascii="Times New Roman CYR" w:hAnsi="Times New Roman CYR" w:cs="Times New Roman CYR"/>
          <w:sz w:val="24"/>
          <w:szCs w:val="24"/>
        </w:rPr>
        <w:t>iдповiдальними за внутрiшнiй контроль та управлiння ризиками є головний виконавчий директор та головний бухгалтер Товариства.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Окремої декларацiї схильностi до ризикiв в Товариствi немає, оскiльки його обов'язкова наявнiсть не передбачена чинним законодавс</w:t>
      </w:r>
      <w:r>
        <w:rPr>
          <w:rFonts w:ascii="Times New Roman CYR" w:hAnsi="Times New Roman CYR" w:cs="Times New Roman CYR"/>
          <w:sz w:val="24"/>
          <w:szCs w:val="24"/>
        </w:rPr>
        <w:t xml:space="preserve">твом України. Управлiння ризиками Товариства являє собою процес їх мiнiмiзацiї або мiнiмiзацiї їхнiх наслiдкiв. Основнi фiнансовi iнструменти Товариства, якi несуть в собi фiнансовi ризики, включають грошовi кошти, дебiторську заборгованiсть, кредиторську </w:t>
      </w:r>
      <w:r>
        <w:rPr>
          <w:rFonts w:ascii="Times New Roman CYR" w:hAnsi="Times New Roman CYR" w:cs="Times New Roman CYR"/>
          <w:sz w:val="24"/>
          <w:szCs w:val="24"/>
        </w:rPr>
        <w:t>заборгованiсть, кредити, та пiддаються наступним фiнансовим ризикам: ринковий, ризик втрати лiквiдностi, кредитний ризик.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зазначених вище, суттєвий вплив на дiяльнiсть Товариства можуть мати такi зовнiшнi ризики, як: нестабiльнiсть, суперечливiсть за</w:t>
      </w:r>
      <w:r>
        <w:rPr>
          <w:rFonts w:ascii="Times New Roman CYR" w:hAnsi="Times New Roman CYR" w:cs="Times New Roman CYR"/>
          <w:sz w:val="24"/>
          <w:szCs w:val="24"/>
        </w:rPr>
        <w:t>конодавства; непередбаченi дiї державних органiв; нестабiльнiсть економiчної (фiнансової, податкової, зовнiшньоекономiчної i iн.) полiтики; непередбачена змiна кон'юнктури внутрiшнього i зовнiшнього ринку; непередбаченi дiї конкурентiв.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w:t>
      </w:r>
      <w:r>
        <w:rPr>
          <w:rFonts w:ascii="Times New Roman CYR" w:hAnsi="Times New Roman CYR" w:cs="Times New Roman CYR"/>
          <w:sz w:val="24"/>
          <w:szCs w:val="24"/>
        </w:rPr>
        <w:t>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Стратегiя подальшої дiяльностi особи щонайменше на рiк (щодо розширення виробництв</w:t>
      </w:r>
      <w:r>
        <w:rPr>
          <w:rFonts w:ascii="Times New Roman CYR" w:hAnsi="Times New Roman CYR" w:cs="Times New Roman CYR"/>
          <w:sz w:val="24"/>
          <w:szCs w:val="24"/>
        </w:rPr>
        <w:t>а, реконструкцiї, полiпшення фiнансового стану, опис iстотних факторiв, якi можуть вплинути на дiяльнiсть особи в майбутньому).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Ринок паперової основи в Українi є ключовим компонентом виробництва санiтарно-гiгiєнiчних виробiв. До повномасштабного вторгнен</w:t>
      </w:r>
      <w:r>
        <w:rPr>
          <w:rFonts w:ascii="Times New Roman CYR" w:hAnsi="Times New Roman CYR" w:cs="Times New Roman CYR"/>
          <w:sz w:val="24"/>
          <w:szCs w:val="24"/>
        </w:rPr>
        <w:t>ня вiн демонстрував стабiльне зростання (близько 10 % щорiчно), однак у 2022 роцi вiдбулося рiзке падiння виробництва. Вже у 2023-2024 роках спостерiгається поступове вiдновлення - внутрiшнє виробництво досягло 77 % довоєнного рiвня, а ємнiсть ринку - 82-8</w:t>
      </w:r>
      <w:r>
        <w:rPr>
          <w:rFonts w:ascii="Times New Roman CYR" w:hAnsi="Times New Roman CYR" w:cs="Times New Roman CYR"/>
          <w:sz w:val="24"/>
          <w:szCs w:val="24"/>
        </w:rPr>
        <w:t xml:space="preserve">3 %. Незважаючи на зниження експорту через воєннi умови, активiзацiя експортної дiяльностi, зокрема компанiєю АТ "Кохавинська ПФ", свiдчить про позитивнi перспективи вiдновлення ринку.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 целюлознi, так i макулатурнi матерiали демонстрували стабiльне зро</w:t>
      </w:r>
      <w:r>
        <w:rPr>
          <w:rFonts w:ascii="Times New Roman CYR" w:hAnsi="Times New Roman CYR" w:cs="Times New Roman CYR"/>
          <w:sz w:val="24"/>
          <w:szCs w:val="24"/>
        </w:rPr>
        <w:t>стання до 2021 року, рiзко скоротилися у 2022 роцi, а згодом почали вiдновлюватися, проте повiльнiшими темпами.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шiсть рокiв основнi виробники та iмпортери залишилися незмiнними, що свiдчить про стiйкiсть ринкової структури i високi бар'єри для входу но</w:t>
      </w:r>
      <w:r>
        <w:rPr>
          <w:rFonts w:ascii="Times New Roman CYR" w:hAnsi="Times New Roman CYR" w:cs="Times New Roman CYR"/>
          <w:sz w:val="24"/>
          <w:szCs w:val="24"/>
        </w:rPr>
        <w:t xml:space="preserve">вих операторiв.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та у першiй половинi 2026 року тенденцiя зростання зберiгається - обсяг виробництва збiльшився порiвняно з аналогiчним перiодом минулого року, що свiдчить про поступове вiдновлення виробничих потужностей i пiдвищення стiйкост</w:t>
      </w:r>
      <w:r>
        <w:rPr>
          <w:rFonts w:ascii="Times New Roman CYR" w:hAnsi="Times New Roman CYR" w:cs="Times New Roman CYR"/>
          <w:sz w:val="24"/>
          <w:szCs w:val="24"/>
        </w:rPr>
        <w:t>i галузi.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Таким чином, ринок демонструє поступове вiдновлення пiсля кризових перiодiв. Проблематикою залишаються виклики, що пов'язанi з високою конкуренцiєю, логiстичними ризиками та зростанням екологiчних вимог, що вимагає постiйного удосконалення вироб</w:t>
      </w:r>
      <w:r>
        <w:rPr>
          <w:rFonts w:ascii="Times New Roman CYR" w:hAnsi="Times New Roman CYR" w:cs="Times New Roman CYR"/>
          <w:sz w:val="24"/>
          <w:szCs w:val="24"/>
        </w:rPr>
        <w:t>ничих процесiв i адаптацiї до нових економiчних умов.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продовжує залишатися ключовим гравцем ринку сангiгiєни з диверсифiкованою пропозицiєю в макулатурному та целюлозному сегментах по бiльшостi видiв продукцiї. У 2025 роцi було введено</w:t>
      </w:r>
      <w:r>
        <w:rPr>
          <w:rFonts w:ascii="Times New Roman CYR" w:hAnsi="Times New Roman CYR" w:cs="Times New Roman CYR"/>
          <w:sz w:val="24"/>
          <w:szCs w:val="24"/>
        </w:rPr>
        <w:t xml:space="preserve"> в експлуатацiю ще одну нову лiнiю по виробництву рушникiв паперових в листах типу VV. А протягом наступних двох рокiв планується ввести в експлуатацiю паперову машину №4, що дозволить виробляти до 90 тисяч тонн основи в рiк. Проект буде пiдсилений новим т</w:t>
      </w:r>
      <w:r>
        <w:rPr>
          <w:rFonts w:ascii="Times New Roman CYR" w:hAnsi="Times New Roman CYR" w:cs="Times New Roman CYR"/>
          <w:sz w:val="24"/>
          <w:szCs w:val="24"/>
        </w:rPr>
        <w:t>вердопаливним котлом потужнiстю 9 МВт.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w:t>
      </w:r>
      <w:r>
        <w:rPr>
          <w:rFonts w:ascii="Times New Roman CYR" w:hAnsi="Times New Roman CYR" w:cs="Times New Roman CYR"/>
          <w:sz w:val="24"/>
          <w:szCs w:val="24"/>
        </w:rPr>
        <w:t>ї, їх вартiсть i спосiб фiнансування.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2021 роцi склало понад 447,3 млн. грн. Освоєно протягом року iнвестицiй на суму 139,4 млн. грн. та сплачено коштiв у виглядi авансових платежiв станом на 31.12.2021 р. по</w:t>
      </w:r>
      <w:r>
        <w:rPr>
          <w:rFonts w:ascii="Times New Roman CYR" w:hAnsi="Times New Roman CYR" w:cs="Times New Roman CYR"/>
          <w:sz w:val="24"/>
          <w:szCs w:val="24"/>
        </w:rPr>
        <w:t xml:space="preserve"> iнвестицiях на суму 319,1 млн. 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2022 роцi склало понад 337,5 млн. грн. Але за рахунок сплачених авансових платежiв в iнвестицiях в 2021 р. освоєно протягом звiтного року капiтальних iнвестицiй на рекордн</w:t>
      </w:r>
      <w:r>
        <w:rPr>
          <w:rFonts w:ascii="Times New Roman CYR" w:hAnsi="Times New Roman CYR" w:cs="Times New Roman CYR"/>
          <w:sz w:val="24"/>
          <w:szCs w:val="24"/>
        </w:rPr>
        <w:t>у для пiдприємства суму 697,9 млн. грн. Значна доля в них припадає саме на великий проект: "Будiвництво виробничо-складського корпусу по виготовленню санiтарно-гiгiєнiчних видiв паперу iз привiзних напiвфабрикатiв". Введено в експлуатацiю активiв на суму 7</w:t>
      </w:r>
      <w:r>
        <w:rPr>
          <w:rFonts w:ascii="Times New Roman CYR" w:hAnsi="Times New Roman CYR" w:cs="Times New Roman CYR"/>
          <w:sz w:val="24"/>
          <w:szCs w:val="24"/>
        </w:rPr>
        <w:t>,6 млн. 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2023 роцi склало 136,5 млн. грн., i це було здiйснено виключно за рахунок власних к</w:t>
      </w:r>
      <w:r>
        <w:rPr>
          <w:rFonts w:ascii="Times New Roman CYR" w:hAnsi="Times New Roman CYR" w:cs="Times New Roman CYR"/>
          <w:sz w:val="24"/>
          <w:szCs w:val="24"/>
        </w:rPr>
        <w:t>оштiв. Але за рахунок сплачених авансових платежiв в iнвестицiях ще в 2022 р. освоєно протягом звiтного року капiтальних iнвестицiй на суму 143,8 млн. грн. Майже вся сума припадає саме на великий проект. Введено в експлуатацiю активiв на суму 169,6 млн. гр</w:t>
      </w:r>
      <w:r>
        <w:rPr>
          <w:rFonts w:ascii="Times New Roman CYR" w:hAnsi="Times New Roman CYR" w:cs="Times New Roman CYR"/>
          <w:sz w:val="24"/>
          <w:szCs w:val="24"/>
        </w:rPr>
        <w:t>н., з них 150,7 млн. - виробнича лiнiя з конвертингу основи-паперу.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Центральною частиною iнвестицiйної програми АТ "Кохавинська паперова фабрика" в 2024 роцi було введення в експлуатацiю виробничо-складського корпусу по виготовленню санiтарно-гiгiєнiчних </w:t>
      </w:r>
      <w:r>
        <w:rPr>
          <w:rFonts w:ascii="Times New Roman CYR" w:hAnsi="Times New Roman CYR" w:cs="Times New Roman CYR"/>
          <w:sz w:val="24"/>
          <w:szCs w:val="24"/>
        </w:rPr>
        <w:t>видiв паперу iз привiзних напiвфабрикатiв (целюлоза). Також, в травнi 2024 року був отриманий сертифiкат про введення в експлуатацiю будiвлю виробничо-складського корпусу по виготовленню санiтарно-гiгiєнiчних видiв паперу iз привiзних напiвфабрикатiв (целю</w:t>
      </w:r>
      <w:r>
        <w:rPr>
          <w:rFonts w:ascii="Times New Roman CYR" w:hAnsi="Times New Roman CYR" w:cs="Times New Roman CYR"/>
          <w:sz w:val="24"/>
          <w:szCs w:val="24"/>
        </w:rPr>
        <w:t>лоза).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цiлому, у 2024 роцi пiдприємство демонструє чiтко виражену орiєнтацiю на розширення виробничої бази та диверсифiкацiю асортименту продукцiї, що є надзвичайно позитивним кроком для майбутнього розвитку, пiдвищення ефективностi й конкуренто-спромож</w:t>
      </w:r>
      <w:r>
        <w:rPr>
          <w:rFonts w:ascii="Times New Roman CYR" w:hAnsi="Times New Roman CYR" w:cs="Times New Roman CYR"/>
          <w:sz w:val="24"/>
          <w:szCs w:val="24"/>
        </w:rPr>
        <w:t xml:space="preserve">ностi на ринку.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2024 роцi склало 113,2 млн. грн., i це було здiйснено виключно за рахунок власних коштiв (отриманих прибуткiв та амортизацiйних вiдрахувань).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встановлено та введення в екплуатацi</w:t>
      </w:r>
      <w:r>
        <w:rPr>
          <w:rFonts w:ascii="Times New Roman CYR" w:hAnsi="Times New Roman CYR" w:cs="Times New Roman CYR"/>
          <w:sz w:val="24"/>
          <w:szCs w:val="24"/>
        </w:rPr>
        <w:t>ю обладнання виробничої лiнiї паперових рушникiв V-V нового поколiння по макулатурному потоку з метою збiльшення асортименту з виготовленням  рушникiв типу V-V макулатурної продукцiї та збiльшенням  обсягiв продажу.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Загальний обсяг освоєних капiтальних iн</w:t>
      </w:r>
      <w:r>
        <w:rPr>
          <w:rFonts w:ascii="Times New Roman CYR" w:hAnsi="Times New Roman CYR" w:cs="Times New Roman CYR"/>
          <w:sz w:val="24"/>
          <w:szCs w:val="24"/>
        </w:rPr>
        <w:t>вестицiй у 2025 роцi становив 73 541 тис. грн., що на 15% бiльше, нiж у 2024 роцi (63 449 тис. грн). Водночас активiв, що було введено в експлуатацiю трохи менше - 72 971 тис. грн., що свiдчить про майже повне завершення iнвестицiйного циклу поточного року</w:t>
      </w:r>
      <w:r>
        <w:rPr>
          <w:rFonts w:ascii="Times New Roman CYR" w:hAnsi="Times New Roman CYR" w:cs="Times New Roman CYR"/>
          <w:sz w:val="24"/>
          <w:szCs w:val="24"/>
        </w:rPr>
        <w:t>. Невелика рiзниця мiж показниками пояснюється незавершеними iнвестицiями 2025 року, що будуть реалiзованi в наступних перiодах.</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цiлому, у 2025 роцi пiдприємство продовжує демонструвати виражену орiєнтацiю на розширення виробничої бази (iнвестицiї у маш</w:t>
      </w:r>
      <w:r>
        <w:rPr>
          <w:rFonts w:ascii="Times New Roman CYR" w:hAnsi="Times New Roman CYR" w:cs="Times New Roman CYR"/>
          <w:sz w:val="24"/>
          <w:szCs w:val="24"/>
        </w:rPr>
        <w:t>ини та обладнання складають бiльше 65%) та диверсифiкацiю асортименту продукцiї, що є надзвичайно позитивним кроком для майбутнього розвитку, пiдвищення ефективностi й конкурентоспроможностi на ринку.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Загальне фiнансування iнвестицiйної програми в 2025 ро</w:t>
      </w:r>
      <w:r>
        <w:rPr>
          <w:rFonts w:ascii="Times New Roman CYR" w:hAnsi="Times New Roman CYR" w:cs="Times New Roman CYR"/>
          <w:sz w:val="24"/>
          <w:szCs w:val="24"/>
        </w:rPr>
        <w:t>цi склало 122,6 млн. грн., в т.ч. 29 млн. грн. на погашення двох векселiв перед INTESA SANPAOLO S.P.A. за лiнiю з конвертингу Maflex (Лiнiя №10) - все було здiйснено виключно за рахунок власних коштiв (отриманих прибуткiв та амортизацiйних вiдрахувань). Пе</w:t>
      </w:r>
      <w:r>
        <w:rPr>
          <w:rFonts w:ascii="Times New Roman CYR" w:hAnsi="Times New Roman CYR" w:cs="Times New Roman CYR"/>
          <w:sz w:val="24"/>
          <w:szCs w:val="24"/>
        </w:rPr>
        <w:t>ревагами такої полiтики є вiдсутнiсть додаткового фiнансового навантаження та вища фiнансова стiйкiсть пiдприємства, а також незалежнiсть вiд кредиторiв. При цьому є i недолiки: недовикористання фiнансового левериджу та обмеження темпiв масштабування бiзне</w:t>
      </w:r>
      <w:r>
        <w:rPr>
          <w:rFonts w:ascii="Times New Roman CYR" w:hAnsi="Times New Roman CYR" w:cs="Times New Roman CYR"/>
          <w:sz w:val="24"/>
          <w:szCs w:val="24"/>
        </w:rPr>
        <w:t>су в цiлому чи окремих його компонентiв.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протягом наступних двох рокiв планується збудувати новий папероробний цех № 2 по виготовленню санiтарно-гiгiєнiчних видiв паперу iз привiзних напiвфабрикатiв та купити i ввести в експлуатацiю папероробну машину №</w:t>
      </w:r>
      <w:r>
        <w:rPr>
          <w:rFonts w:ascii="Times New Roman CYR" w:hAnsi="Times New Roman CYR" w:cs="Times New Roman CYR"/>
          <w:sz w:val="24"/>
          <w:szCs w:val="24"/>
        </w:rPr>
        <w:t>4. Проект буде пiдсилений новим твердопаливним котлом потужнiстю 9 МВт. Пiдприємством вже украдено контракти на поставку нової папероробної машини та твердопаливного котла. Фiнансування проекту планується здiйснити за рахунок власних фiнансових ресурсiв пi</w:t>
      </w:r>
      <w:r>
        <w:rPr>
          <w:rFonts w:ascii="Times New Roman CYR" w:hAnsi="Times New Roman CYR" w:cs="Times New Roman CYR"/>
          <w:sz w:val="24"/>
          <w:szCs w:val="24"/>
        </w:rPr>
        <w:t>дприємства та залучення зовнiшнiх джерел, включаючи банкiвське кредитування, тощо.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w:t>
      </w:r>
      <w:r>
        <w:rPr>
          <w:rFonts w:ascii="Times New Roman CYR" w:hAnsi="Times New Roman CYR" w:cs="Times New Roman CYR"/>
          <w:sz w:val="24"/>
          <w:szCs w:val="24"/>
        </w:rPr>
        <w:t xml:space="preserve">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w:t>
      </w:r>
      <w:r>
        <w:rPr>
          <w:rFonts w:ascii="Times New Roman CYR" w:hAnsi="Times New Roman CYR" w:cs="Times New Roman CYR"/>
          <w:sz w:val="24"/>
          <w:szCs w:val="24"/>
        </w:rPr>
        <w:t>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пiдроздiлами пiдприємства є:</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паперове виробництво, де ф</w:t>
      </w:r>
      <w:r>
        <w:rPr>
          <w:rFonts w:ascii="Times New Roman CYR" w:hAnsi="Times New Roman CYR" w:cs="Times New Roman CYR"/>
          <w:sz w:val="24"/>
          <w:szCs w:val="24"/>
        </w:rPr>
        <w:t>ункцiонують три папероробнi машини: двi макулатурного виробництва та одна целюлозна (ПРМ №3), загальною потужнiстю понад 64 тис. тон паперу-основи на рiк;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СГВП - виробництво санiтарно-гiгiєнiчних виробiв на макулатурнiй основi;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СГВП 2 - виробництво санiтарно-гiгiєнiчних виробiв на целюлознiй основi.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Пiдроздiл виробництва СГВП включає 8 технологiчних лiнiй, зокрема: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2 лiнiї з виробництва туалетного паперу без втулки,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1 лiнiя з виробництва туалетного паперу на втулцi,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1</w:t>
      </w:r>
      <w:r>
        <w:rPr>
          <w:rFonts w:ascii="Times New Roman CYR" w:hAnsi="Times New Roman CYR" w:cs="Times New Roman CYR"/>
          <w:sz w:val="24"/>
          <w:szCs w:val="24"/>
        </w:rPr>
        <w:t xml:space="preserve"> лiнiя з виготовлення паперових втулок,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4 лiнiї з виробництва паперових рушникiв типу V-V.</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пiдроздiлу целюлозного напряму - СГВП №2 - входять 4 технологiчнi лiнiї: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туалетного паперу та целюлозних рушникiв на втулцi,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r>
        <w:rPr>
          <w:rFonts w:ascii="Times New Roman CYR" w:hAnsi="Times New Roman CYR" w:cs="Times New Roman CYR"/>
          <w:sz w:val="24"/>
          <w:szCs w:val="24"/>
        </w:rPr>
        <w:t>лiнiя з виробництва целюлозних рушникiв типу V-V,</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паперових рушникiв типу Z-Z,</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лiнiя з виробництва паперових серветок.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Робота пiдроздiлу СГВП №2 та оптимiзацiя виробничих процесiв сприяють розширенню асортименту продукцiї, пiдвищ</w:t>
      </w:r>
      <w:r>
        <w:rPr>
          <w:rFonts w:ascii="Times New Roman CYR" w:hAnsi="Times New Roman CYR" w:cs="Times New Roman CYR"/>
          <w:sz w:val="24"/>
          <w:szCs w:val="24"/>
        </w:rPr>
        <w:t>енню її якостi та змiцненню конкурентних позицiй пiдприємства.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виробничi пiдроздiли обслуговуються такими допомiжними пiдроздiлами та дiльницями: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транспортним цехом,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ремонтно-механiчною дiльницею,</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вiддiлом КВПiА,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електродiльницею,</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господарською дiльницею.</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Основне виробництво забезпечується теплом, яке виробляється власним теплоенергоцехом.</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пiдприємства є забезпечення виробництва продукцiї у вiдповiдностi до вимог чинного законодавства, дiючих нормативних документiв, гарант</w:t>
      </w:r>
      <w:r>
        <w:rPr>
          <w:rFonts w:ascii="Times New Roman CYR" w:hAnsi="Times New Roman CYR" w:cs="Times New Roman CYR"/>
          <w:sz w:val="24"/>
          <w:szCs w:val="24"/>
        </w:rPr>
        <w:t>ування безпеки проведення робiт та вiдповiдностi продукцiї, що виготовляється, вимогам до її подальшого застосування. Тому на АТ "Кохавинська ПФ":</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впроваджено систему управлiння якiстю (СУЯ) вiдповiдно до нацiонального стандарту ДСТУ EN ISO 9001:2018 ( </w:t>
      </w:r>
      <w:r>
        <w:rPr>
          <w:rFonts w:ascii="Times New Roman CYR" w:hAnsi="Times New Roman CYR" w:cs="Times New Roman CYR"/>
          <w:sz w:val="24"/>
          <w:szCs w:val="24"/>
        </w:rPr>
        <w:t>ISO 9001:2015) з розширенням сфери сертифiкацiї та органiзацiї видачi сертифiкату вiдповiдно до нацiонального стандарту ДСТУ EN ISO 9001:2018 ( ISO 9001:2015).</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-впроваджено систему  екологiчного управлiння (СЕУ) вiдповiдно до нацiонального стандарту ДСТУ </w:t>
      </w:r>
      <w:r>
        <w:rPr>
          <w:rFonts w:ascii="Times New Roman CYR" w:hAnsi="Times New Roman CYR" w:cs="Times New Roman CYR"/>
          <w:sz w:val="24"/>
          <w:szCs w:val="24"/>
        </w:rPr>
        <w:t>ISO 14001:2015 з отриманням вiдповiдного сертифiкату.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проведено сертифiкацiю FSC (Forest Stewardship Council), отримано вiдповiдний мiжнародний сертифiкат.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Кожного року проводяться наглядовi аудити з боку органiв сертифiкацiй на вiдповiднiсть певним ст</w:t>
      </w:r>
      <w:r>
        <w:rPr>
          <w:rFonts w:ascii="Times New Roman CYR" w:hAnsi="Times New Roman CYR" w:cs="Times New Roman CYR"/>
          <w:sz w:val="24"/>
          <w:szCs w:val="24"/>
        </w:rPr>
        <w:t xml:space="preserve">андартам. Також на пiдприємствi проводяться щорiчнi внутрiшнi аудити.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АТ "Кохавинська ПФ" здiйснює внутрiшнiй нагляд за дотриманням законодавства у сферi охорони атмосферного повiтря згiдно чинного законодавства.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їх структура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w:t>
      </w:r>
      <w:r>
        <w:rPr>
          <w:rFonts w:ascii="Times New Roman CYR" w:hAnsi="Times New Roman CYR" w:cs="Times New Roman CYR"/>
          <w:sz w:val="24"/>
          <w:szCs w:val="24"/>
        </w:rPr>
        <w:t>ду основних засобiв входять майже всi групи ОЗ: земельнi дiлянки, будiвлi та споруди, машини та обладнання, транспортнi засоби, меблi, iнструменти та iншi активи.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"Значна частина активiв використовується як застава пiд кредитнi зобов'язання.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Оренда та правочини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орендує земельнi дiлянки державної (комунальної) власностi. Орендна плата визначається на основi нормативної грошової оцiнки землi, встановленої державними органами. Також мають мiсце оренда транспортних засобiв та виробничог</w:t>
      </w:r>
      <w:r>
        <w:rPr>
          <w:rFonts w:ascii="Times New Roman CYR" w:hAnsi="Times New Roman CYR" w:cs="Times New Roman CYR"/>
          <w:sz w:val="24"/>
          <w:szCs w:val="24"/>
        </w:rPr>
        <w:t>о обладнання (гiдравлiчний прес).</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чиннi договори оренди враховуються без визнання активiв з права користування (користування МСФЗ 16) через застосування звiльнення для короткострокових та малоцiнних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Утримання та амортизацiя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"Метод оцiнки: </w:t>
      </w:r>
      <w:r>
        <w:rPr>
          <w:rFonts w:ascii="Times New Roman CYR" w:hAnsi="Times New Roman CYR" w:cs="Times New Roman CYR"/>
          <w:sz w:val="24"/>
          <w:szCs w:val="24"/>
        </w:rPr>
        <w:t>основнi засоби облiковуються за справедливою вартiстю мiнус амортизацiя та знецiнення.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ремонт i поточне обслуговування вiдносяться на витрати того перiоду, коли вони виникають. Покращення, якi подовжують строк служби, капiталiзуються.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w:t>
      </w:r>
      <w:r>
        <w:rPr>
          <w:rFonts w:ascii="Times New Roman CYR" w:hAnsi="Times New Roman CYR" w:cs="Times New Roman CYR"/>
          <w:sz w:val="24"/>
          <w:szCs w:val="24"/>
        </w:rPr>
        <w:t xml:space="preserve">iя щороку переглядає строки корисного використання та проводить тест на зменшення корисностi активiв.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Виробничi потужностi та використання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виробничi потужностi розташованi у селище Гнiздичiв, Стрийський район, Львiвська обл., за адресою: вул. К</w:t>
      </w:r>
      <w:r>
        <w:rPr>
          <w:rFonts w:ascii="Times New Roman CYR" w:hAnsi="Times New Roman CYR" w:cs="Times New Roman CYR"/>
          <w:sz w:val="24"/>
          <w:szCs w:val="24"/>
        </w:rPr>
        <w:t>оновальця, 6.</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"Потужностi забезпечують виробництво паперу-основи, картону та продукцiї санiтарно-гiгiєнiчного призначення (туалетний папiр, рушники, iншi побутовi вироби).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утримує обладнання у робочому станi, здiйснює регулярнi ремонти, а модер</w:t>
      </w:r>
      <w:r>
        <w:rPr>
          <w:rFonts w:ascii="Times New Roman CYR" w:hAnsi="Times New Roman CYR" w:cs="Times New Roman CYR"/>
          <w:sz w:val="24"/>
          <w:szCs w:val="24"/>
        </w:rPr>
        <w:t>нiзацiя й замiни капiталiзуються.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"Значна частина обладнання вже замортизована, але продовжує використовуватись, що вказує на високий рiвень завантаження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АТ "Кохавинська паперова фабрика" володiє значним обсягом основних засобiв, частина з яких </w:t>
      </w:r>
      <w:r>
        <w:rPr>
          <w:rFonts w:ascii="Times New Roman CYR" w:hAnsi="Times New Roman CYR" w:cs="Times New Roman CYR"/>
          <w:sz w:val="24"/>
          <w:szCs w:val="24"/>
        </w:rPr>
        <w:t>є заставою за кредитами. Компанiя орендує землi комунальної власностi та застосовує обачний пiдхiд до облiку за МСФЗ 16. Основнi засоби активно експлуатуються, значна їх частина повнiстю замортизована, що свiдчить про iнтенсивне використання виробничих пот</w:t>
      </w:r>
      <w:r>
        <w:rPr>
          <w:rFonts w:ascii="Times New Roman CYR" w:hAnsi="Times New Roman CYR" w:cs="Times New Roman CYR"/>
          <w:sz w:val="24"/>
          <w:szCs w:val="24"/>
        </w:rPr>
        <w:t>ужностей. Основнi виробничi активи розташованi у Львiвськiй областi, у зонi, де не ведуться активнi бойовi дiї, що дозволяє забезпечувати безперервнiсть виробництва.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Екологiчнi питання, що можуть позначитися на використаннi активiв пiдприємства вiдсутнi.</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пiдприємства впливають ризики пов'язанi з воєнним станом, в тому числi кадровий голод на ринку працi. Залежнiсть вiд</w:t>
      </w:r>
      <w:r>
        <w:rPr>
          <w:rFonts w:ascii="Times New Roman CYR" w:hAnsi="Times New Roman CYR" w:cs="Times New Roman CYR"/>
          <w:sz w:val="24"/>
          <w:szCs w:val="24"/>
        </w:rPr>
        <w:t xml:space="preserve"> законодавчих та економiчних обмежень вiдсутня.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II кварталi 2026 року Тов</w:t>
      </w:r>
      <w:r>
        <w:rPr>
          <w:rFonts w:ascii="Times New Roman CYR" w:hAnsi="Times New Roman CYR" w:cs="Times New Roman CYR"/>
          <w:sz w:val="24"/>
          <w:szCs w:val="24"/>
        </w:rPr>
        <w:t>ариство виконало всi укладенi договори.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w:t>
      </w:r>
      <w:r>
        <w:rPr>
          <w:rFonts w:ascii="Times New Roman CYR" w:hAnsi="Times New Roman CYR" w:cs="Times New Roman CYR"/>
          <w:sz w:val="24"/>
          <w:szCs w:val="24"/>
        </w:rPr>
        <w:t>(дня,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- 514 осiб.</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порiвняннi з попереднiм </w:t>
      </w:r>
      <w:r>
        <w:rPr>
          <w:rFonts w:ascii="Times New Roman CYR" w:hAnsi="Times New Roman CYR" w:cs="Times New Roman CYR"/>
          <w:sz w:val="24"/>
          <w:szCs w:val="24"/>
        </w:rPr>
        <w:t>звiтним перiодом фонд оплати працi збiльшився i становить 53756,9 тис. 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Протягом звiтного перiоду пропозицiй </w:t>
      </w:r>
      <w:r>
        <w:rPr>
          <w:rFonts w:ascii="Times New Roman CYR" w:hAnsi="Times New Roman CYR" w:cs="Times New Roman CYR"/>
          <w:sz w:val="24"/>
          <w:szCs w:val="24"/>
        </w:rPr>
        <w:t>щодо реорганiзацiї з боку третiх осiб не було.</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Iнформацiю, яка може бути iстотною для оцiнки фiнансового стану та результатiв дiяльно</w:t>
      </w:r>
      <w:r>
        <w:rPr>
          <w:rFonts w:ascii="Times New Roman CYR" w:hAnsi="Times New Roman CYR" w:cs="Times New Roman CYR"/>
          <w:sz w:val="24"/>
          <w:szCs w:val="24"/>
        </w:rPr>
        <w:t>стi товариства, стейкхолдери можуть отримати на сайтi Товариства https://www.kpf.ua/</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13180414202400616</w:t>
            </w:r>
          </w:p>
        </w:tc>
        <w:tc>
          <w:tcPr>
            <w:tcW w:w="1065"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24.01.2025</w:t>
            </w:r>
          </w:p>
        </w:tc>
        <w:tc>
          <w:tcPr>
            <w:tcW w:w="3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Головне управлiння ДПС у Львiвськiй областi</w:t>
            </w:r>
          </w:p>
        </w:tc>
        <w:tc>
          <w:tcPr>
            <w:tcW w:w="12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30.12.2029</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1 827 980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1 788 558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1 827 980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1 788 558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483 659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477 210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483 659</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477 210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1 257 761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1 226 538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1 257 761</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1 226 538</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30 990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29 374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30 990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29 374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45 721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9 849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9 715</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9 849</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9 715</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2 313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1 830 293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1 790 871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1 830 293</w:t>
            </w:r>
          </w:p>
        </w:tc>
        <w:tc>
          <w:tcPr>
            <w:tcW w:w="1082"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1 790 871</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та умови користування основними засобами (за основними групами): Будiвлi та споруди - 20-40 рокiв, машини та обладнання - 5-15 рокiв, транспортнi засобi - 8  рокiв.</w:t>
            </w: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(переоцiнена) вартiсть основних засобiв - 1 842 195 тис. грн., сума нарахо</w:t>
            </w:r>
            <w:r>
              <w:rPr>
                <w:rFonts w:ascii="Times New Roman CYR" w:hAnsi="Times New Roman CYR" w:cs="Times New Roman CYR"/>
              </w:rPr>
              <w:t>ваного зносу - 53 637 тис. грн., ступiнь зносу - 2,91%, ступiнь використання - 92,6 %.</w:t>
            </w: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Змiни у вартостi основних засобiв вiдбулися за рахунок надходження нових ОЗ, вибуття проданих чи лiквiдованих ОЗ та зменшення їх залишкової вартостi через нарахування а</w:t>
            </w:r>
            <w:r>
              <w:rPr>
                <w:rFonts w:ascii="Times New Roman CYR" w:hAnsi="Times New Roman CYR" w:cs="Times New Roman CYR"/>
              </w:rPr>
              <w:t>мортизацiї в звiтному перiодi.</w:t>
            </w: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Обмеження на використання майна, що знаходиться в заставi, вартiстю 743 716 тис. грн.</w:t>
            </w: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w:t>
            </w:r>
            <w:r>
              <w:rPr>
                <w:rFonts w:ascii="Times New Roman CYR" w:hAnsi="Times New Roman CYR" w:cs="Times New Roman CYR"/>
              </w:rPr>
              <w:t>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499 603</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довгостроковi кредити банкiв</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26.07.2024</w:t>
            </w: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241 286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04.07.2029</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короткостроковi кредити банкiв</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137 594</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31.12.2026</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заборгованiсть по довгостроковим зобов'язаннями</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31.12.2025</w:t>
            </w: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120 723</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30.06.2027</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46 195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46 195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частина</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20.09.2022</w:t>
            </w: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14 352</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03.08.2027</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частина</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30.09.2024</w:t>
            </w: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31 843</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03.02.2027</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18 110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1 671</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Збiр за забруднення навколишнього середовища</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Орендна плата за земельну дiлянку</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Рентна плата за спецвикористання водних ресурсiв</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536</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15 124</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360 678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172 369</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1 743</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6 799</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5 887</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14 677</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604</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40 443</w:t>
            </w:r>
          </w:p>
        </w:tc>
        <w:tc>
          <w:tcPr>
            <w:tcW w:w="194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924 586</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Папiр-основа</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6 144,23 т</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306691,7</w:t>
            </w:r>
          </w:p>
        </w:tc>
        <w:tc>
          <w:tcPr>
            <w:tcW w:w="22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5892,565 т</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292452,6</w:t>
            </w:r>
          </w:p>
        </w:tc>
        <w:tc>
          <w:tcPr>
            <w:tcW w:w="22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Вироби санiтарно-гiгiєнiчного та побутового призначення</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49 139,584 тис.шт</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444027,67</w:t>
            </w:r>
          </w:p>
        </w:tc>
        <w:tc>
          <w:tcPr>
            <w:tcW w:w="22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49308,977 тис.шт</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448173,1</w:t>
            </w:r>
          </w:p>
        </w:tc>
        <w:tc>
          <w:tcPr>
            <w:tcW w:w="22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Матерiальнi затрати</w:t>
            </w:r>
          </w:p>
        </w:tc>
        <w:tc>
          <w:tcPr>
            <w:tcW w:w="59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Витрати на оплату працi</w:t>
            </w:r>
          </w:p>
        </w:tc>
        <w:tc>
          <w:tcPr>
            <w:tcW w:w="59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3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Вiдрахування на соцiальнi заходи</w:t>
            </w:r>
          </w:p>
        </w:tc>
        <w:tc>
          <w:tcPr>
            <w:tcW w:w="59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bl>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пов'зана з ними дiяльнiсть</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w:t>
            </w:r>
            <w:r>
              <w:rPr>
                <w:rFonts w:ascii="Times New Roman CYR" w:hAnsi="Times New Roman CYR" w:cs="Times New Roman CYR"/>
              </w:rPr>
              <w:t>истем</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буд.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w:t>
            </w:r>
            <w:r>
              <w:rPr>
                <w:rFonts w:ascii="Times New Roman CYR" w:hAnsi="Times New Roman CYR" w:cs="Times New Roman CYR"/>
              </w:rPr>
              <w:t>iчної дiяльностi</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"НЕКСIЯ ДК АУДИТ"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32409677</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79029, Україна, м. Львiв, вул.Антоновича В., будинок 102В</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+380 50 298 85 85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з проведення обов'язкового ауди</w:t>
            </w:r>
            <w:r>
              <w:rPr>
                <w:rFonts w:ascii="Times New Roman CYR" w:hAnsi="Times New Roman CYR" w:cs="Times New Roman CYR"/>
              </w:rPr>
              <w:t>ту фiнансоої звiтностi</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"Кредобанк"</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09807862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79026, Україна, м. Львiв, вул. Сахарова, буд.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AE286595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Дата видачі </w:t>
            </w:r>
            <w:r>
              <w:rPr>
                <w:rFonts w:ascii="Times New Roman CYR" w:hAnsi="Times New Roman CYR" w:cs="Times New Roman CYR"/>
              </w:rPr>
              <w:t>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10.10.2013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(032) 297-23-12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64.19 - Iншi види грошового посередництва (основний)</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зберiгача цiнних паперiв</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13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239/1/11</w:t>
            </w:r>
          </w:p>
        </w:tc>
        <w:tc>
          <w:tcPr>
            <w:tcW w:w="24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16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2 847 328</w:t>
            </w:r>
          </w:p>
        </w:tc>
        <w:tc>
          <w:tcPr>
            <w:tcW w:w="14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711 832</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w:t>
            </w:r>
            <w:r>
              <w:rPr>
                <w:rFonts w:ascii="Times New Roman CYR" w:hAnsi="Times New Roman CYR" w:cs="Times New Roman CYR"/>
              </w:rPr>
              <w:t>ало випускiв акцiй</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850"/>
        <w:gridCol w:w="3850"/>
        <w:gridCol w:w="3850"/>
        <w:gridCol w:w="3850"/>
      </w:tblGrid>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інших не голосуючих акцій, шт</w:t>
            </w:r>
            <w:r>
              <w:rPr>
                <w:rFonts w:ascii="Times New Roman CYR" w:hAnsi="Times New Roman CYR" w:cs="Times New Roman CYR"/>
              </w:rPr>
              <w:t>.</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38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2774566</w:t>
            </w:r>
          </w:p>
        </w:tc>
        <w:tc>
          <w:tcPr>
            <w:tcW w:w="385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72762</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2000"/>
        <w:gridCol w:w="2000"/>
        <w:gridCol w:w="2000"/>
        <w:gridCol w:w="2000"/>
        <w:gridCol w:w="1700"/>
        <w:gridCol w:w="1700"/>
      </w:tblGrid>
      <w:tr w:rsidR="00000000">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за типами акцій</w:t>
            </w:r>
          </w:p>
        </w:tc>
      </w:tr>
      <w:tr w:rsidR="00000000">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привілейовані іменні</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Михайло Федорович</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562 112</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19,741736</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562 112</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Титикало Лариса Михайлiвна</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462 529</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16,244317</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462 529</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Пирiг Роман Романович</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224 495</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7,884409</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224 495</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Костирко Iгор Григорович</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339 380</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11,919244</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339 380</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Телетков Олександр Васильович</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316 786</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11,125729</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316 786</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1 905 302</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66,915435</w:t>
            </w:r>
          </w:p>
        </w:tc>
        <w:tc>
          <w:tcPr>
            <w:tcW w:w="17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1 905 302</w:t>
            </w:r>
          </w:p>
        </w:tc>
        <w:tc>
          <w:tcPr>
            <w:tcW w:w="17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будь-які обмеження щодо обігу цінних паперів особи, в тому числі необхідність отримання від особи або інших власників цінних паперів згоди на відчуження таких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000"/>
        <w:gridCol w:w="3500"/>
        <w:gridCol w:w="24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цінних</w:t>
            </w:r>
            <w:r>
              <w:rPr>
                <w:rFonts w:ascii="Times New Roman CYR" w:hAnsi="Times New Roman CYR" w:cs="Times New Roman CYR"/>
              </w:rPr>
              <w:t xml:space="preserve">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Характеристика обмеження</w:t>
            </w:r>
          </w:p>
        </w:tc>
        <w:tc>
          <w:tcPr>
            <w:tcW w:w="24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обмеження</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4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Закон України "Про депозитарну систему України"</w:t>
            </w:r>
          </w:p>
        </w:tc>
        <w:tc>
          <w:tcPr>
            <w:tcW w:w="3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вимог пункту 10 роздiлу VI Закону України "Про депозитарну систему України"  (акцiонерами не укладено договори з депозитарною установою про обслуговування рахунка в цiнних паперах)  обмежено пра</w:t>
            </w:r>
            <w:r>
              <w:rPr>
                <w:rFonts w:ascii="Times New Roman CYR" w:hAnsi="Times New Roman CYR" w:cs="Times New Roman CYR"/>
              </w:rPr>
              <w:t>во голосу по 72762 акцiях емiтента.</w:t>
            </w: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p>
        </w:tc>
        <w:tc>
          <w:tcPr>
            <w:tcW w:w="24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 укладення акцiонером Товариства договору з депозитарною установою про обслуговування рахунку в цiнних паперах</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6"/>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w:t>
            </w:r>
            <w:r>
              <w:rPr>
                <w:rFonts w:ascii="Times New Roman CYR" w:hAnsi="Times New Roman CYR" w:cs="Times New Roman CYR"/>
              </w:rPr>
              <w:t>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w:t>
            </w:r>
            <w:r>
              <w:rPr>
                <w:rFonts w:ascii="Times New Roman CYR" w:hAnsi="Times New Roman CYR" w:cs="Times New Roman CYR"/>
              </w:rPr>
              <w:t>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13.05.2011</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239/1/11</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UA4000120653</w:t>
            </w:r>
          </w:p>
        </w:tc>
        <w:tc>
          <w:tcPr>
            <w:tcW w:w="20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2 847 328</w:t>
            </w:r>
          </w:p>
        </w:tc>
        <w:tc>
          <w:tcPr>
            <w:tcW w:w="21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2 774 566</w:t>
            </w:r>
          </w:p>
        </w:tc>
        <w:tc>
          <w:tcPr>
            <w:tcW w:w="1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Характеристика обмеження: Обмеження вiдсутнi</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III. Фінансова інформація</w:t>
      </w: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https://www.kpf.ua/dlya-akczioneriv-2/</w:t>
      </w:r>
    </w:p>
    <w:p w:rsidR="00000000" w:rsidRDefault="00B0599B" w:rsidP="0097028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https://portal.frs.gov.ua/PublicData/PublicDataSubmissionPack.aspx?submission_pack_version_id=211885</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Керiвник емiтента повiдомляє про те, що наскiльки йому вiдомо промiжна фiнансова звiтнiсть пiдготовлена вiдповiдно до мiжнародних стандартаiв фiнансової звiтностi (МСФЗ), що вимагаються згiдно iз Законом України "Про бухгалтерський облiк та фiнансову звiт</w:t>
      </w:r>
      <w:r>
        <w:rPr>
          <w:rFonts w:ascii="Times New Roman CYR" w:hAnsi="Times New Roman CYR" w:cs="Times New Roman CYR"/>
          <w:sz w:val="24"/>
          <w:szCs w:val="24"/>
        </w:rPr>
        <w:t>нiсть в Українi", мiстить достовiрне та об'єктивне подання iнформацiї про стан активiв, пасивiв, фiнансовий стан, прибутки та збитки емiтента.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керiвництва включає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емiтент стикається у своїй господарськiй дiяльностi.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Юрид</w:t>
      </w:r>
      <w:r>
        <w:rPr>
          <w:rFonts w:ascii="Times New Roman CYR" w:hAnsi="Times New Roman CYR" w:cs="Times New Roman CYR"/>
          <w:sz w:val="24"/>
          <w:szCs w:val="24"/>
        </w:rPr>
        <w:t>ичних осiб, якi перебувають пiд контролем емiтента немає, консолiдована фiнансова звiтнiсть не складається.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URL-адреса власного вебсайту особи, на якій розміщена інформація про прийняття рішення щодо попереднього надання згоди на вчинення значних правочинів</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09.04.2026</w:t>
            </w:r>
          </w:p>
        </w:tc>
        <w:tc>
          <w:tcPr>
            <w:tcW w:w="7850" w:type="dxa"/>
            <w:tcBorders>
              <w:top w:val="single" w:sz="6" w:space="0" w:color="auto"/>
              <w:left w:val="single" w:sz="6" w:space="0" w:color="auto"/>
              <w:bottom w:val="single" w:sz="6" w:space="0" w:color="auto"/>
            </w:tcBorders>
          </w:tcPr>
          <w:p w:rsidR="00000000" w:rsidRDefault="00B0599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https://www.kpf.ua/wp-content/uploads/2026/04/osoblyva-informacziya.-vidomosti-pro-pryjnyattya-rishennya-pro-poperednye-nadannya-zgody-na-vchynennya-znachnyh-pravochyniv.pdf</w:t>
            </w:r>
          </w:p>
        </w:tc>
      </w:tr>
    </w:tbl>
    <w:p w:rsidR="00000000" w:rsidRDefault="00B0599B">
      <w:pPr>
        <w:widowControl w:val="0"/>
        <w:autoSpaceDE w:val="0"/>
        <w:autoSpaceDN w:val="0"/>
        <w:adjustRightInd w:val="0"/>
        <w:spacing w:after="0" w:line="240" w:lineRule="auto"/>
        <w:rPr>
          <w:rFonts w:ascii="Times New Roman CYR" w:hAnsi="Times New Roman CYR" w:cs="Times New Roman CYR"/>
        </w:rPr>
      </w:pPr>
    </w:p>
    <w:p w:rsidR="00000000" w:rsidRDefault="00B0599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B0599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w:t>
      </w:r>
      <w:r>
        <w:rPr>
          <w:rFonts w:ascii="Times New Roman CYR" w:hAnsi="Times New Roman CYR" w:cs="Times New Roman CYR"/>
          <w:sz w:val="24"/>
          <w:szCs w:val="24"/>
        </w:rPr>
        <w:t>х вплив на проміжну фінансову звітність, а також опис основних ризиків та невизначеностей у діяльності особи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другому кварталi 2026 року Товариством було скликано та проведено загальнi збори акцiонерiв.  Iнших важливих для Товариства подiй впродовж звiтно</w:t>
      </w:r>
      <w:r>
        <w:rPr>
          <w:rFonts w:ascii="Times New Roman CYR" w:hAnsi="Times New Roman CYR" w:cs="Times New Roman CYR"/>
          <w:sz w:val="24"/>
          <w:szCs w:val="24"/>
        </w:rPr>
        <w:t>го перiоду не вiдбувалося, вiдповiдно, їх вплив на промiжну фiнансову звiтнiсть Товариства вiдсутнiй.</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Окремої декларацiї схильностi до ризикiв в Товариствi немає, оскiльки його обов'язкова наявнiсть не передбачена чинним законодавством України. Управлiння ризиками Товариства являє собою процес їх мiнiмiзацiї або мiнiмiзацiї їхнiх наслiдкiв. Основними фiнан</w:t>
      </w:r>
      <w:r>
        <w:rPr>
          <w:rFonts w:ascii="Times New Roman CYR" w:hAnsi="Times New Roman CYR" w:cs="Times New Roman CYR"/>
          <w:sz w:val="24"/>
          <w:szCs w:val="24"/>
        </w:rPr>
        <w:t>совими iнструментами Товариства, якi несуть в собi фiнансовi ризики, є грошовi кошти, дебiторська заборгованiсть, кредиторська заборгованiсть, кредити, що пiддаються наступним фiнансовим ризикам: ринковий ризик, ризик втрати лiквiдностi, кредитний ризик.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Крiм зазначених вище, суттєвий вплив на дiяльнiсть Товариства можуть мати такi зовнiшнi ризики, як: нестабiльнiсть, суперечливiсть законодавства; непередбаченi дiї державних органiв; нестабiльнiсть економiчної (фiнансової, податкової, зовнiшньоекономiчної </w:t>
      </w:r>
      <w:r>
        <w:rPr>
          <w:rFonts w:ascii="Times New Roman CYR" w:hAnsi="Times New Roman CYR" w:cs="Times New Roman CYR"/>
          <w:sz w:val="24"/>
          <w:szCs w:val="24"/>
        </w:rPr>
        <w:t>i iн.) полiтики; непередбачена змiна кон'юнктури внутрiшнього i зовнiшнього ринку; непередбаченi дiї конкурентiв.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i управлiння ризиками включає всi внутрiшнi правила та процедури контролю, запровадженi керiвництвом для досягн</w:t>
      </w:r>
      <w:r>
        <w:rPr>
          <w:rFonts w:ascii="Times New Roman CYR" w:hAnsi="Times New Roman CYR" w:cs="Times New Roman CYR"/>
          <w:sz w:val="24"/>
          <w:szCs w:val="24"/>
        </w:rPr>
        <w:t>ення поставленої мети - забезпечення (в межах можливого) стабiльного i ефективного функцiонування Товариства, дотримання внутрiшньогосподарської полiтики, збереження та рацiонального використання активiв.</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здiйсненнi внутрiшнього контролю i управлiння </w:t>
      </w:r>
      <w:r>
        <w:rPr>
          <w:rFonts w:ascii="Times New Roman CYR" w:hAnsi="Times New Roman CYR" w:cs="Times New Roman CYR"/>
          <w:sz w:val="24"/>
          <w:szCs w:val="24"/>
        </w:rPr>
        <w:t>ризиками в Товариствi використовуються рiзнi методи, вони включають в себе такi елементи, як:</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(iнвентаризацiя i документацiя, рахунки i подвiйний запис);</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w:t>
      </w:r>
      <w:r>
        <w:rPr>
          <w:rFonts w:ascii="Times New Roman CYR" w:hAnsi="Times New Roman CYR" w:cs="Times New Roman CYR"/>
          <w:sz w:val="24"/>
          <w:szCs w:val="24"/>
        </w:rPr>
        <w:t>вання витрат);</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w:t>
      </w:r>
      <w:r>
        <w:rPr>
          <w:rFonts w:ascii="Times New Roman CYR" w:hAnsi="Times New Roman CYR" w:cs="Times New Roman CYR"/>
          <w:sz w:val="24"/>
          <w:szCs w:val="24"/>
        </w:rPr>
        <w:t>сi перерахованi вище методи становлять єдину систему i використовуються в цiлях управлiння ризиками Товариства.</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Особами, вiдповiдальними за внутрiшнiй контроль та управлiння ризиками є головний виконавчий директор та головний бухгалтер Товариства. </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w:t>
      </w:r>
      <w:r>
        <w:rPr>
          <w:rFonts w:ascii="Times New Roman CYR" w:hAnsi="Times New Roman CYR" w:cs="Times New Roman CYR"/>
          <w:sz w:val="24"/>
          <w:szCs w:val="24"/>
        </w:rPr>
        <w:t>и з внутрiшнього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B0599B">
      <w:pPr>
        <w:widowControl w:val="0"/>
        <w:autoSpaceDE w:val="0"/>
        <w:autoSpaceDN w:val="0"/>
        <w:adjustRightInd w:val="0"/>
        <w:spacing w:after="0" w:line="240" w:lineRule="auto"/>
        <w:jc w:val="both"/>
        <w:rPr>
          <w:rFonts w:ascii="Times New Roman CYR" w:hAnsi="Times New Roman CYR" w:cs="Times New Roman CYR"/>
          <w:sz w:val="24"/>
          <w:szCs w:val="24"/>
        </w:rPr>
      </w:pPr>
    </w:p>
    <w:p w:rsidR="00B0599B" w:rsidRDefault="00B0599B">
      <w:pPr>
        <w:widowControl w:val="0"/>
        <w:autoSpaceDE w:val="0"/>
        <w:autoSpaceDN w:val="0"/>
        <w:adjustRightInd w:val="0"/>
        <w:spacing w:after="0" w:line="240" w:lineRule="auto"/>
        <w:rPr>
          <w:rFonts w:ascii="Times New Roman CYR" w:hAnsi="Times New Roman CYR" w:cs="Times New Roman CYR"/>
          <w:sz w:val="24"/>
          <w:szCs w:val="24"/>
        </w:rPr>
      </w:pPr>
    </w:p>
    <w:sectPr w:rsidR="00B0599B">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9B" w:rsidRDefault="00B0599B" w:rsidP="00970283">
      <w:pPr>
        <w:spacing w:after="0" w:line="240" w:lineRule="auto"/>
      </w:pPr>
      <w:r>
        <w:separator/>
      </w:r>
    </w:p>
  </w:endnote>
  <w:endnote w:type="continuationSeparator" w:id="0">
    <w:p w:rsidR="00B0599B" w:rsidRDefault="00B0599B" w:rsidP="009702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9B" w:rsidRDefault="00B0599B" w:rsidP="00970283">
      <w:pPr>
        <w:spacing w:after="0" w:line="240" w:lineRule="auto"/>
      </w:pPr>
      <w:r>
        <w:separator/>
      </w:r>
    </w:p>
  </w:footnote>
  <w:footnote w:type="continuationSeparator" w:id="0">
    <w:p w:rsidR="00B0599B" w:rsidRDefault="00B0599B" w:rsidP="009702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283" w:rsidRDefault="00970283">
    <w:pPr>
      <w:pStyle w:val="a3"/>
      <w:jc w:val="center"/>
    </w:pPr>
    <w:fldSimple w:instr=" PAGE   \* MERGEFORMAT ">
      <w:r w:rsidR="00B0599B">
        <w:rPr>
          <w:noProof/>
        </w:rPr>
        <w:t>1</w:t>
      </w:r>
    </w:fldSimple>
  </w:p>
  <w:p w:rsidR="00970283" w:rsidRDefault="0097028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283"/>
    <w:rsid w:val="00157228"/>
    <w:rsid w:val="00970283"/>
    <w:rsid w:val="00B0599B"/>
    <w:rsid w:val="00C359C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0283"/>
    <w:pPr>
      <w:tabs>
        <w:tab w:val="center" w:pos="4819"/>
        <w:tab w:val="right" w:pos="9639"/>
      </w:tabs>
    </w:pPr>
  </w:style>
  <w:style w:type="character" w:customStyle="1" w:styleId="a4">
    <w:name w:val="Верхний колонтитул Знак"/>
    <w:basedOn w:val="a0"/>
    <w:link w:val="a3"/>
    <w:uiPriority w:val="99"/>
    <w:rsid w:val="00970283"/>
  </w:style>
  <w:style w:type="paragraph" w:styleId="a5">
    <w:name w:val="footer"/>
    <w:basedOn w:val="a"/>
    <w:link w:val="a6"/>
    <w:uiPriority w:val="99"/>
    <w:semiHidden/>
    <w:unhideWhenUsed/>
    <w:rsid w:val="00970283"/>
    <w:pPr>
      <w:tabs>
        <w:tab w:val="center" w:pos="4819"/>
        <w:tab w:val="right" w:pos="9639"/>
      </w:tabs>
    </w:pPr>
  </w:style>
  <w:style w:type="character" w:customStyle="1" w:styleId="a6">
    <w:name w:val="Нижний колонтитул Знак"/>
    <w:basedOn w:val="a0"/>
    <w:link w:val="a5"/>
    <w:uiPriority w:val="99"/>
    <w:semiHidden/>
    <w:rsid w:val="00970283"/>
  </w:style>
  <w:style w:type="table" w:styleId="a7">
    <w:name w:val="Table Grid"/>
    <w:basedOn w:val="a1"/>
    <w:uiPriority w:val="59"/>
    <w:rsid w:val="00970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40424</Words>
  <Characters>23043</Characters>
  <Application>Microsoft Office Word</Application>
  <DocSecurity>0</DocSecurity>
  <Lines>192</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2026-07-31T07:06:00Z</dcterms:created>
  <dcterms:modified xsi:type="dcterms:W3CDTF">2026-07-31T07:07:00Z</dcterms:modified>
</cp:coreProperties>
</file>